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8771" w14:textId="5B9F589C" w:rsidR="00C16E54" w:rsidRPr="00C16E54" w:rsidRDefault="00C16E54">
      <w:pPr>
        <w:rPr>
          <w:b/>
          <w:bCs/>
          <w:sz w:val="28"/>
          <w:szCs w:val="32"/>
        </w:rPr>
      </w:pPr>
      <w:r w:rsidRPr="00C16E54">
        <w:rPr>
          <w:b/>
          <w:bCs/>
          <w:sz w:val="28"/>
          <w:szCs w:val="32"/>
        </w:rPr>
        <w:t xml:space="preserve">Model of quality care provision  for </w:t>
      </w:r>
      <w:r w:rsidRPr="00C16E54">
        <w:rPr>
          <w:rFonts w:cs="Arial"/>
          <w:b/>
          <w:bCs/>
          <w:sz w:val="28"/>
          <w:szCs w:val="28"/>
        </w:rPr>
        <w:t>Adolescent and Young Adult  (</w:t>
      </w:r>
      <w:r w:rsidRPr="00C16E54">
        <w:rPr>
          <w:b/>
          <w:bCs/>
          <w:sz w:val="28"/>
          <w:szCs w:val="32"/>
        </w:rPr>
        <w:t xml:space="preserve">AYA) cancer patients in the European Union: </w:t>
      </w:r>
    </w:p>
    <w:tbl>
      <w:tblPr>
        <w:tblW w:w="13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1482"/>
      </w:tblGrid>
      <w:tr w:rsidR="00364472" w:rsidRPr="00E94D7D" w14:paraId="1B001499" w14:textId="77777777" w:rsidTr="00C16E54">
        <w:trPr>
          <w:tblHeader/>
        </w:trPr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56082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63EB" w14:textId="77777777" w:rsidR="00364472" w:rsidRPr="00E94D7D" w:rsidRDefault="00364472" w:rsidP="003809FC">
            <w:pPr>
              <w:pStyle w:val="TableHeadingWhite"/>
              <w:rPr>
                <w:rFonts w:cs="Arial"/>
                <w:sz w:val="22"/>
                <w:szCs w:val="22"/>
              </w:rPr>
            </w:pPr>
            <w:r>
              <w:br w:type="page"/>
            </w:r>
            <w:r w:rsidRPr="00E94D7D">
              <w:rPr>
                <w:rFonts w:cs="Arial"/>
                <w:sz w:val="22"/>
                <w:szCs w:val="22"/>
              </w:rPr>
              <w:t xml:space="preserve">Component and subcomponent  </w:t>
            </w: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156082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F3C1" w14:textId="77777777" w:rsidR="00364472" w:rsidRPr="00E94D7D" w:rsidRDefault="00364472" w:rsidP="003809FC">
            <w:pPr>
              <w:pStyle w:val="TableHeadingWhite"/>
              <w:rPr>
                <w:rFonts w:cs="Arial"/>
                <w:sz w:val="22"/>
                <w:szCs w:val="22"/>
              </w:rPr>
            </w:pPr>
            <w:r w:rsidRPr="00E94D7D">
              <w:rPr>
                <w:rFonts w:cs="Arial"/>
                <w:sz w:val="22"/>
                <w:szCs w:val="22"/>
              </w:rPr>
              <w:t>Identified effective approaches</w:t>
            </w:r>
          </w:p>
        </w:tc>
      </w:tr>
      <w:tr w:rsidR="00364472" w:rsidRPr="00E94D7D" w14:paraId="70890D4C" w14:textId="77777777" w:rsidTr="00C16E54">
        <w:trPr>
          <w:trHeight w:val="53"/>
        </w:trPr>
        <w:tc>
          <w:tcPr>
            <w:tcW w:w="1388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F11E" w14:textId="77777777" w:rsidR="00364472" w:rsidRPr="00E94D7D" w:rsidRDefault="00364472" w:rsidP="00DD0E19">
            <w:pPr>
              <w:pStyle w:val="TableTextNoSpace"/>
              <w:numPr>
                <w:ilvl w:val="0"/>
                <w:numId w:val="2"/>
              </w:numPr>
              <w:suppressAutoHyphens/>
              <w:autoSpaceDN w:val="0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>Overarching components</w:t>
            </w:r>
          </w:p>
        </w:tc>
      </w:tr>
      <w:tr w:rsidR="00364472" w:rsidRPr="00E94D7D" w14:paraId="04E2537B" w14:textId="77777777" w:rsidTr="00C16E54"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111F" w14:textId="5F1B6FEE" w:rsidR="00364472" w:rsidRPr="00E94D7D" w:rsidRDefault="00364472" w:rsidP="00DD0E19">
            <w:pPr>
              <w:pStyle w:val="TableTextNoSpace"/>
              <w:rPr>
                <w:rFonts w:cs="Arial"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>1.1: Age range</w:t>
            </w:r>
          </w:p>
          <w:p w14:paraId="4D2DBD7C" w14:textId="77777777" w:rsidR="00364472" w:rsidRPr="00E94D7D" w:rsidRDefault="00364472" w:rsidP="00DD0E19">
            <w:pPr>
              <w:pStyle w:val="TableTextNoSpace"/>
              <w:rPr>
                <w:rFonts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151C" w14:textId="77777777" w:rsidR="00364472" w:rsidRPr="00E94D7D" w:rsidRDefault="00364472" w:rsidP="00D70988">
            <w:pPr>
              <w:pStyle w:val="Bullet1"/>
            </w:pPr>
            <w:r w:rsidRPr="00E94D7D">
              <w:rPr>
                <w:b/>
              </w:rPr>
              <w:t xml:space="preserve">Aligning with international common practice by using 15-39 as </w:t>
            </w:r>
            <w:r w:rsidRPr="0094144D">
              <w:rPr>
                <w:b/>
              </w:rPr>
              <w:t>default but</w:t>
            </w:r>
            <w:r w:rsidRPr="00E94D7D">
              <w:rPr>
                <w:b/>
              </w:rPr>
              <w:t xml:space="preserve"> maintaining flexibility </w:t>
            </w:r>
            <w:r w:rsidRPr="00815AE6">
              <w:rPr>
                <w:bCs/>
              </w:rPr>
              <w:t>in the age range applied</w:t>
            </w:r>
            <w:r w:rsidRPr="00E94D7D">
              <w:t xml:space="preserve"> based on the needs of the population, and disease prevalence and characteristics, rather than enforcing hard cut-off points. </w:t>
            </w:r>
          </w:p>
          <w:p w14:paraId="7FF5D5EB" w14:textId="77777777" w:rsidR="00364472" w:rsidRPr="00E94D7D" w:rsidRDefault="00364472" w:rsidP="00D70988">
            <w:pPr>
              <w:pStyle w:val="Bullet1"/>
            </w:pPr>
            <w:r w:rsidRPr="00D70988">
              <w:rPr>
                <w:b/>
                <w:bCs/>
              </w:rPr>
              <w:t xml:space="preserve">Balancing a broader overall age range </w:t>
            </w:r>
            <w:r w:rsidRPr="00D70988">
              <w:t>(e.g. 15-39)</w:t>
            </w:r>
            <w:r w:rsidRPr="00D70988">
              <w:rPr>
                <w:b/>
                <w:bCs/>
              </w:rPr>
              <w:t xml:space="preserve"> for inclusivity with narrower sub-ranges</w:t>
            </w:r>
            <w:r w:rsidRPr="00E94D7D">
              <w:t xml:space="preserve"> (e.g. 15-24) to accommodate the heterogeneity of needs within the larger age bracket.</w:t>
            </w:r>
          </w:p>
          <w:p w14:paraId="151C973A" w14:textId="77777777" w:rsidR="00364472" w:rsidRPr="00E94D7D" w:rsidRDefault="00364472" w:rsidP="00D70988">
            <w:pPr>
              <w:pStyle w:val="Bullet1"/>
            </w:pPr>
            <w:r w:rsidRPr="00815AE6">
              <w:rPr>
                <w:b/>
                <w:bCs/>
              </w:rPr>
              <w:t>Application of sub-ranges</w:t>
            </w:r>
            <w:r w:rsidRPr="00E94D7D">
              <w:t xml:space="preserve"> based on developmental/psychosocial, biological/epidemiological, and practical considerations, including alignment with previous research.</w:t>
            </w:r>
          </w:p>
        </w:tc>
      </w:tr>
      <w:tr w:rsidR="00364472" w:rsidRPr="00E94D7D" w14:paraId="6A7A5F72" w14:textId="77777777" w:rsidTr="00C16E54">
        <w:trPr>
          <w:trHeight w:val="1907"/>
        </w:trPr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2F59" w14:textId="70F5324D" w:rsidR="00364472" w:rsidRPr="00E94D7D" w:rsidRDefault="00364472" w:rsidP="00DD0E19">
            <w:pPr>
              <w:pStyle w:val="TableTextNoSpace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>1.2: Access and Equity</w:t>
            </w:r>
          </w:p>
          <w:p w14:paraId="5F3E2C17" w14:textId="77777777" w:rsidR="00364472" w:rsidRPr="00E94D7D" w:rsidRDefault="00364472" w:rsidP="00DD0E19">
            <w:pPr>
              <w:pStyle w:val="TableTextNoSpace"/>
              <w:spacing w:after="240"/>
              <w:rPr>
                <w:rFonts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687C" w14:textId="77777777" w:rsidR="00364472" w:rsidRDefault="00364472" w:rsidP="00D70988">
            <w:pPr>
              <w:pStyle w:val="Bullet1"/>
            </w:pPr>
            <w:r w:rsidRPr="00E94D7D">
              <w:rPr>
                <w:b/>
                <w:bCs/>
              </w:rPr>
              <w:t>System-level strategies can support consistent care</w:t>
            </w:r>
            <w:r>
              <w:t xml:space="preserve"> across regions and institutions, including national policies, clinical guidelines and care pathways.</w:t>
            </w:r>
          </w:p>
          <w:p w14:paraId="626B6018" w14:textId="6C03C92E" w:rsidR="00364472" w:rsidRDefault="00DD0E19" w:rsidP="00D70988">
            <w:pPr>
              <w:pStyle w:val="Bullet1"/>
            </w:pPr>
            <w:r w:rsidRPr="00DD0E19">
              <w:rPr>
                <w:b/>
                <w:bCs/>
              </w:rPr>
              <w:t>Multi-disciplinary teams</w:t>
            </w:r>
            <w:r w:rsidR="00364472">
              <w:t xml:space="preserve"> (</w:t>
            </w:r>
            <w:r>
              <w:t xml:space="preserve">MDTs - </w:t>
            </w:r>
            <w:r w:rsidR="00364472">
              <w:t>paediatric and adult oncology specialists) and the use of centralised/dedicated specialist services or established network of centres can support continuity and quality of care</w:t>
            </w:r>
          </w:p>
          <w:p w14:paraId="4C526D15" w14:textId="77777777" w:rsidR="00364472" w:rsidRPr="005804D2" w:rsidRDefault="00364472" w:rsidP="00D70988">
            <w:pPr>
              <w:pStyle w:val="Bullet1"/>
            </w:pPr>
            <w:r w:rsidRPr="005804D2">
              <w:rPr>
                <w:b/>
                <w:bCs/>
              </w:rPr>
              <w:t xml:space="preserve">Appointing specific contact points </w:t>
            </w:r>
            <w:r w:rsidRPr="00E94D7D">
              <w:t xml:space="preserve">can help AYA patients to navigate complex </w:t>
            </w:r>
            <w:proofErr w:type="gramStart"/>
            <w:r w:rsidRPr="00E94D7D">
              <w:t>systems, and</w:t>
            </w:r>
            <w:proofErr w:type="gramEnd"/>
            <w:r w:rsidRPr="00E94D7D">
              <w:t xml:space="preserve"> can also be used to monitor and signpost to support for socioeconomic issues.</w:t>
            </w:r>
          </w:p>
          <w:p w14:paraId="112F9BD8" w14:textId="63C5F979" w:rsidR="00364472" w:rsidRPr="00E94D7D" w:rsidRDefault="00364472" w:rsidP="00D70988">
            <w:pPr>
              <w:pStyle w:val="Bullet1"/>
              <w:rPr>
                <w:rFonts w:cs="Arial"/>
                <w:szCs w:val="22"/>
              </w:rPr>
            </w:pPr>
            <w:r w:rsidRPr="00E94D7D">
              <w:t>Recommend</w:t>
            </w:r>
            <w:r>
              <w:t xml:space="preserve">ed </w:t>
            </w:r>
            <w:r w:rsidRPr="00DD0E19">
              <w:rPr>
                <w:b/>
                <w:bCs/>
              </w:rPr>
              <w:t>measures to reduce geographical disparities</w:t>
            </w:r>
            <w:r w:rsidRPr="00E94D7D">
              <w:t xml:space="preserve"> and to ensure inclusive, patient</w:t>
            </w:r>
            <w:r w:rsidR="007C3C57">
              <w:t>-</w:t>
            </w:r>
            <w:r w:rsidRPr="00E94D7D">
              <w:t>centred care are detailed</w:t>
            </w:r>
            <w:r>
              <w:t>,</w:t>
            </w:r>
            <w:r w:rsidRPr="00E94D7D">
              <w:t xml:space="preserve"> but little is AYA specific.</w:t>
            </w:r>
          </w:p>
        </w:tc>
      </w:tr>
      <w:tr w:rsidR="00364472" w:rsidRPr="00E94D7D" w14:paraId="0A19FB50" w14:textId="77777777" w:rsidTr="00C16E54"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782B" w14:textId="0997AC9C" w:rsidR="00364472" w:rsidRPr="00E94D7D" w:rsidRDefault="00364472" w:rsidP="00DD0E19">
            <w:pPr>
              <w:pStyle w:val="TableTextNoSpace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>1.3: Quality improvement, data and monitoring</w:t>
            </w:r>
          </w:p>
          <w:p w14:paraId="3A8B0F12" w14:textId="77777777" w:rsidR="00364472" w:rsidRPr="00E94D7D" w:rsidRDefault="00364472" w:rsidP="00DD0E19">
            <w:pPr>
              <w:pStyle w:val="TableTextNoSpace"/>
              <w:rPr>
                <w:rFonts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EC5A" w14:textId="77777777" w:rsidR="00364472" w:rsidRPr="00E94D7D" w:rsidRDefault="00364472" w:rsidP="00D70988">
            <w:pPr>
              <w:pStyle w:val="Bullet1"/>
            </w:pPr>
            <w:r w:rsidRPr="00E94D7D">
              <w:rPr>
                <w:b/>
              </w:rPr>
              <w:t xml:space="preserve">Guidelines </w:t>
            </w:r>
            <w:r w:rsidRPr="00DD0E19">
              <w:rPr>
                <w:bCs/>
              </w:rPr>
              <w:t>should be</w:t>
            </w:r>
            <w:r w:rsidRPr="00E94D7D">
              <w:t xml:space="preserve"> </w:t>
            </w:r>
            <w:r w:rsidRPr="00E94D7D">
              <w:rPr>
                <w:b/>
              </w:rPr>
              <w:t>developed by experts who are well-versed in the needs of the AYA community</w:t>
            </w:r>
            <w:r w:rsidRPr="00E94D7D">
              <w:t xml:space="preserve"> and should draw on a comprehensive evidence review and/or adaptation of existing evidence-based guidelines</w:t>
            </w:r>
            <w:r>
              <w:t xml:space="preserve"> as well as consultation with relevant stakeholders</w:t>
            </w:r>
            <w:r w:rsidRPr="00E94D7D">
              <w:t xml:space="preserve">. </w:t>
            </w:r>
          </w:p>
          <w:p w14:paraId="0DF0DEC3" w14:textId="77777777" w:rsidR="00364472" w:rsidRPr="00E94D7D" w:rsidRDefault="00364472" w:rsidP="00D70988">
            <w:pPr>
              <w:pStyle w:val="Bullet1"/>
              <w:rPr>
                <w:rFonts w:cs="Arial"/>
                <w:szCs w:val="22"/>
              </w:rPr>
            </w:pPr>
            <w:r w:rsidRPr="00D70988">
              <w:rPr>
                <w:b/>
                <w:bCs/>
              </w:rPr>
              <w:t>Where research is insufficient</w:t>
            </w:r>
            <w:r w:rsidRPr="00E94D7D">
              <w:t xml:space="preserve"> to reach evidence-based guidelines, </w:t>
            </w:r>
            <w:r w:rsidRPr="00E94D7D">
              <w:rPr>
                <w:rFonts w:cs="Arial"/>
                <w:b/>
                <w:szCs w:val="22"/>
              </w:rPr>
              <w:t>expert consensus</w:t>
            </w:r>
            <w:r w:rsidRPr="00E94D7D">
              <w:rPr>
                <w:rFonts w:cs="Arial"/>
                <w:szCs w:val="22"/>
              </w:rPr>
              <w:t xml:space="preserve"> </w:t>
            </w:r>
            <w:r w:rsidRPr="00E94D7D">
              <w:rPr>
                <w:rFonts w:cs="Arial"/>
                <w:b/>
                <w:szCs w:val="22"/>
              </w:rPr>
              <w:t>should be utilised</w:t>
            </w:r>
            <w:r w:rsidRPr="00DD0E19">
              <w:rPr>
                <w:rFonts w:cs="Arial"/>
                <w:bCs/>
                <w:szCs w:val="22"/>
              </w:rPr>
              <w:t xml:space="preserve">. </w:t>
            </w:r>
          </w:p>
          <w:p w14:paraId="6C9E9CCE" w14:textId="77777777" w:rsidR="00364472" w:rsidRDefault="00364472" w:rsidP="00D70988">
            <w:pPr>
              <w:pStyle w:val="Bullet1"/>
            </w:pPr>
            <w:r w:rsidRPr="00E94D7D">
              <w:t xml:space="preserve">Where </w:t>
            </w:r>
            <w:r w:rsidRPr="0094144D">
              <w:t>available and</w:t>
            </w:r>
            <w:r w:rsidRPr="00E94D7D">
              <w:t xml:space="preserve"> confirmed as best practice and of added value, </w:t>
            </w:r>
            <w:r w:rsidRPr="00D70988">
              <w:rPr>
                <w:b/>
                <w:bCs/>
              </w:rPr>
              <w:t>European evidence-based guidelines</w:t>
            </w:r>
            <w:r w:rsidRPr="00E94D7D">
              <w:t xml:space="preserve"> should be adopted and incorporated into national policy</w:t>
            </w:r>
            <w:r w:rsidRPr="00DD0E19">
              <w:t xml:space="preserve">. </w:t>
            </w:r>
          </w:p>
          <w:p w14:paraId="1BF26CFF" w14:textId="77777777" w:rsidR="00364472" w:rsidRPr="00E94D7D" w:rsidRDefault="00364472" w:rsidP="00D70988">
            <w:pPr>
              <w:pStyle w:val="Bullet1"/>
            </w:pPr>
            <w:r w:rsidRPr="00E94D7D">
              <w:rPr>
                <w:b/>
                <w:bCs/>
              </w:rPr>
              <w:t>Developing practical tools</w:t>
            </w:r>
            <w:r>
              <w:t xml:space="preserve"> can support implementation of guidelines.</w:t>
            </w:r>
          </w:p>
          <w:p w14:paraId="3E4C2451" w14:textId="77777777" w:rsidR="00364472" w:rsidRPr="00E94D7D" w:rsidRDefault="00364472" w:rsidP="003809FC">
            <w:pPr>
              <w:pStyle w:val="Bullet2"/>
              <w:numPr>
                <w:ilvl w:val="0"/>
                <w:numId w:val="0"/>
              </w:numPr>
              <w:ind w:left="340"/>
              <w:rPr>
                <w:rFonts w:cs="Arial"/>
                <w:szCs w:val="22"/>
              </w:rPr>
            </w:pPr>
          </w:p>
        </w:tc>
      </w:tr>
      <w:tr w:rsidR="00364472" w:rsidRPr="00E94D7D" w14:paraId="02301D4E" w14:textId="77777777" w:rsidTr="00C16E54">
        <w:tc>
          <w:tcPr>
            <w:tcW w:w="1388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F545" w14:textId="77777777" w:rsidR="00364472" w:rsidRPr="00E94D7D" w:rsidRDefault="00364472" w:rsidP="00DD0E19">
            <w:pPr>
              <w:pStyle w:val="TableTextNoSpace"/>
              <w:numPr>
                <w:ilvl w:val="0"/>
                <w:numId w:val="2"/>
              </w:numPr>
              <w:suppressAutoHyphens/>
              <w:autoSpaceDN w:val="0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>Clinical components</w:t>
            </w:r>
          </w:p>
        </w:tc>
      </w:tr>
      <w:tr w:rsidR="00364472" w:rsidRPr="009B52A4" w14:paraId="79ED87A7" w14:textId="77777777" w:rsidTr="00C16E54">
        <w:trPr>
          <w:trHeight w:val="551"/>
        </w:trPr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E685" w14:textId="1AC5A13C" w:rsidR="00364472" w:rsidRPr="00E94D7D" w:rsidRDefault="00364472" w:rsidP="00DD0E19">
            <w:pPr>
              <w:pStyle w:val="TableTextNoSpace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 xml:space="preserve">2.1: Age-appropriate cancer </w:t>
            </w:r>
            <w:r w:rsidRPr="00E94D7D">
              <w:rPr>
                <w:rFonts w:cs="Arial"/>
                <w:b/>
                <w:sz w:val="22"/>
                <w:szCs w:val="22"/>
              </w:rPr>
              <w:lastRenderedPageBreak/>
              <w:t xml:space="preserve">care provision across stages </w:t>
            </w:r>
          </w:p>
          <w:p w14:paraId="70F84419" w14:textId="77777777" w:rsidR="00364472" w:rsidRPr="00E94D7D" w:rsidRDefault="00364472" w:rsidP="00DD0E19">
            <w:pPr>
              <w:pStyle w:val="TableText"/>
              <w:rPr>
                <w:rFonts w:cs="Arial"/>
                <w:sz w:val="22"/>
                <w:szCs w:val="22"/>
              </w:rPr>
            </w:pPr>
            <w:r w:rsidRPr="00E94D7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645C" w14:textId="77777777" w:rsidR="00364472" w:rsidRPr="00E94D7D" w:rsidRDefault="00364472" w:rsidP="00D70988">
            <w:pPr>
              <w:pStyle w:val="Bullet1"/>
            </w:pPr>
            <w:r w:rsidRPr="00E94D7D">
              <w:rPr>
                <w:b/>
              </w:rPr>
              <w:lastRenderedPageBreak/>
              <w:t>Increasing awareness</w:t>
            </w:r>
            <w:r w:rsidRPr="00E94D7D">
              <w:t xml:space="preserve"> among healthcare professionals, patients, their families and the general public </w:t>
            </w:r>
            <w:r w:rsidRPr="00DD0E19">
              <w:rPr>
                <w:b/>
                <w:bCs/>
              </w:rPr>
              <w:t>about cancer risks, signs and symptoms</w:t>
            </w:r>
            <w:r w:rsidRPr="00E94D7D">
              <w:t xml:space="preserve"> in people in the AYA age range</w:t>
            </w:r>
          </w:p>
          <w:p w14:paraId="236C2711" w14:textId="4F55DF18" w:rsidR="00364472" w:rsidRPr="00E94D7D" w:rsidRDefault="00364472" w:rsidP="00D70988">
            <w:pPr>
              <w:pStyle w:val="Bullet1"/>
            </w:pPr>
            <w:r>
              <w:lastRenderedPageBreak/>
              <w:t xml:space="preserve">Newly diagnosed </w:t>
            </w:r>
            <w:r w:rsidRPr="25450076">
              <w:rPr>
                <w:b/>
                <w:bCs/>
              </w:rPr>
              <w:t xml:space="preserve">AYA patients should be managed through </w:t>
            </w:r>
            <w:r w:rsidR="00815AE6">
              <w:rPr>
                <w:b/>
                <w:bCs/>
              </w:rPr>
              <w:t>m</w:t>
            </w:r>
            <w:r w:rsidR="00815AE6">
              <w:rPr>
                <w:rFonts w:cs="Arial"/>
                <w:b/>
                <w:szCs w:val="22"/>
              </w:rPr>
              <w:t xml:space="preserve">ulti-disciplinary teams </w:t>
            </w:r>
            <w:r w:rsidR="00815AE6" w:rsidRPr="00815AE6">
              <w:rPr>
                <w:rFonts w:cs="Arial"/>
                <w:bCs/>
                <w:szCs w:val="22"/>
              </w:rPr>
              <w:t>(</w:t>
            </w:r>
            <w:r w:rsidR="00815AE6" w:rsidRPr="00815AE6">
              <w:rPr>
                <w:bCs/>
              </w:rPr>
              <w:t>MDTs,</w:t>
            </w:r>
            <w:r w:rsidR="00815AE6">
              <w:rPr>
                <w:b/>
                <w:bCs/>
              </w:rPr>
              <w:t xml:space="preserve"> </w:t>
            </w:r>
            <w:r>
              <w:t>including paediatric and adult oncologists) to ensure age-appropriate, accurate and comprehensive diagnostic assessments as well as psychosocial and oncofertility support requirements.</w:t>
            </w:r>
          </w:p>
          <w:p w14:paraId="07238495" w14:textId="5212B3F0" w:rsidR="00364472" w:rsidRPr="00E94D7D" w:rsidRDefault="00364472" w:rsidP="00D70988">
            <w:pPr>
              <w:pStyle w:val="Bullet1"/>
            </w:pPr>
            <w:r w:rsidRPr="25450076">
              <w:rPr>
                <w:b/>
                <w:bCs/>
              </w:rPr>
              <w:t>Developing clear, AYA-specific pathways of care</w:t>
            </w:r>
            <w:r>
              <w:t xml:space="preserve"> including referral pathways to specialist services and within networks</w:t>
            </w:r>
            <w:r w:rsidR="00DD0E19">
              <w:t>.</w:t>
            </w:r>
          </w:p>
          <w:p w14:paraId="78A1ED97" w14:textId="77777777" w:rsidR="00364472" w:rsidRPr="00E94D7D" w:rsidRDefault="00364472" w:rsidP="00D70988">
            <w:pPr>
              <w:pStyle w:val="Bullet1"/>
            </w:pPr>
            <w:r w:rsidRPr="00E94D7D">
              <w:rPr>
                <w:b/>
              </w:rPr>
              <w:t xml:space="preserve">Adapting care </w:t>
            </w:r>
            <w:r w:rsidRPr="00E94D7D">
              <w:t>to the distinct intersection of biological vulnerabilities (development stage, tumour profiles</w:t>
            </w:r>
            <w:r>
              <w:t>, age stratification</w:t>
            </w:r>
            <w:r w:rsidRPr="00E94D7D">
              <w:t>), developmental transitions and psychosocial challenges faced by AYAs.</w:t>
            </w:r>
          </w:p>
          <w:p w14:paraId="7724B329" w14:textId="77777777" w:rsidR="00364472" w:rsidRPr="00E94D7D" w:rsidRDefault="00364472" w:rsidP="00D70988">
            <w:pPr>
              <w:pStyle w:val="Bullet1"/>
            </w:pPr>
            <w:r w:rsidRPr="00E94D7D">
              <w:rPr>
                <w:b/>
              </w:rPr>
              <w:t>Addressing biological considerations</w:t>
            </w:r>
            <w:r w:rsidRPr="00E94D7D">
              <w:t xml:space="preserve"> such as oncofertility, late effects and toxicity profiles early, with timely counselling and screening. </w:t>
            </w:r>
          </w:p>
          <w:p w14:paraId="55FA2F18" w14:textId="77777777" w:rsidR="00364472" w:rsidRPr="009B52A4" w:rsidRDefault="00364472" w:rsidP="00D70988">
            <w:pPr>
              <w:pStyle w:val="Bullet1"/>
            </w:pPr>
            <w:r w:rsidRPr="00815AE6">
              <w:rPr>
                <w:b/>
                <w:bCs/>
              </w:rPr>
              <w:t>Transitioning</w:t>
            </w:r>
            <w:r w:rsidRPr="00E94D7D">
              <w:t xml:space="preserve"> from paediatric to adult care, and through the stages should be </w:t>
            </w:r>
            <w:r w:rsidRPr="00815AE6">
              <w:rPr>
                <w:b/>
                <w:bCs/>
              </w:rPr>
              <w:t>structured and supported</w:t>
            </w:r>
            <w:r w:rsidRPr="00E94D7D">
              <w:t xml:space="preserve"> to avoid disruption (see also Transitions).</w:t>
            </w:r>
          </w:p>
        </w:tc>
      </w:tr>
      <w:tr w:rsidR="00364472" w:rsidRPr="00E94D7D" w14:paraId="13A51A8D" w14:textId="77777777" w:rsidTr="00C16E54">
        <w:trPr>
          <w:trHeight w:val="1266"/>
        </w:trPr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0D00" w14:textId="2AC735FE" w:rsidR="00364472" w:rsidRPr="00E94D7D" w:rsidRDefault="00364472" w:rsidP="00DD0E19">
            <w:pPr>
              <w:pStyle w:val="TableTextNoSpace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lastRenderedPageBreak/>
              <w:t xml:space="preserve">2.2: </w:t>
            </w:r>
            <w:bookmarkStart w:id="0" w:name="_Hlk212025280"/>
            <w:r w:rsidRPr="00E94D7D">
              <w:rPr>
                <w:rFonts w:cs="Arial"/>
                <w:b/>
                <w:sz w:val="22"/>
                <w:szCs w:val="22"/>
              </w:rPr>
              <w:t>Oncofertility</w:t>
            </w:r>
            <w:bookmarkEnd w:id="0"/>
          </w:p>
          <w:p w14:paraId="6D51923D" w14:textId="77777777" w:rsidR="00364472" w:rsidRPr="00E94D7D" w:rsidRDefault="00364472" w:rsidP="003809FC">
            <w:pPr>
              <w:pStyle w:val="TableTextNoSpace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14CF" w14:textId="77777777" w:rsidR="00364472" w:rsidRPr="00E94D7D" w:rsidRDefault="00364472" w:rsidP="00D70988">
            <w:pPr>
              <w:pStyle w:val="Bullet1"/>
            </w:pPr>
            <w:r w:rsidRPr="00E94D7D">
              <w:t xml:space="preserve">Holding </w:t>
            </w:r>
            <w:r w:rsidRPr="00D70988">
              <w:rPr>
                <w:b/>
                <w:bCs/>
              </w:rPr>
              <w:t>oncofertility discussions and counselling</w:t>
            </w:r>
            <w:r w:rsidRPr="00E94D7D">
              <w:t xml:space="preserve"> as early as possible after diagnosis and before cancer treatment</w:t>
            </w:r>
          </w:p>
          <w:p w14:paraId="337F43B5" w14:textId="77777777" w:rsidR="00364472" w:rsidRPr="00E94D7D" w:rsidRDefault="00364472" w:rsidP="00D70988">
            <w:pPr>
              <w:pStyle w:val="Bullet1"/>
              <w:rPr>
                <w:b/>
              </w:rPr>
            </w:pPr>
            <w:r w:rsidRPr="00E94D7D">
              <w:t xml:space="preserve">Continuing </w:t>
            </w:r>
            <w:r w:rsidRPr="00D70988">
              <w:rPr>
                <w:b/>
                <w:bCs/>
              </w:rPr>
              <w:t>oncofertility care</w:t>
            </w:r>
            <w:r w:rsidRPr="00E94D7D">
              <w:t xml:space="preserve"> </w:t>
            </w:r>
            <w:r w:rsidRPr="00E94D7D">
              <w:rPr>
                <w:b/>
              </w:rPr>
              <w:t>during and after cancer treatment</w:t>
            </w:r>
            <w:r w:rsidRPr="00E94D7D">
              <w:t>, including periodic follow ups.</w:t>
            </w:r>
          </w:p>
          <w:p w14:paraId="34554FFF" w14:textId="77777777" w:rsidR="00364472" w:rsidRPr="00E94D7D" w:rsidRDefault="00364472" w:rsidP="00D70988">
            <w:pPr>
              <w:pStyle w:val="Bullet1"/>
            </w:pPr>
            <w:r w:rsidRPr="00E94D7D">
              <w:t xml:space="preserve">Ensuring </w:t>
            </w:r>
            <w:r w:rsidRPr="00D70988">
              <w:rPr>
                <w:b/>
                <w:bCs/>
              </w:rPr>
              <w:t>universal access to fertility preservation services</w:t>
            </w:r>
            <w:r w:rsidRPr="00E94D7D">
              <w:t xml:space="preserve"> for all AYA cancer patients</w:t>
            </w:r>
          </w:p>
          <w:p w14:paraId="47EAA9ED" w14:textId="77777777" w:rsidR="00364472" w:rsidRPr="00E94D7D" w:rsidRDefault="00364472" w:rsidP="00D70988">
            <w:pPr>
              <w:pStyle w:val="Bullet1"/>
            </w:pPr>
            <w:r>
              <w:t xml:space="preserve">Ensuring oncofertility care </w:t>
            </w:r>
            <w:r w:rsidRPr="6206D1E4">
              <w:rPr>
                <w:b/>
                <w:bCs/>
              </w:rPr>
              <w:t>addresses psychological and emotional impacts</w:t>
            </w:r>
            <w:r w:rsidRPr="6206D1E4">
              <w:t xml:space="preserve"> of fertility issues.</w:t>
            </w:r>
          </w:p>
          <w:p w14:paraId="1085BD18" w14:textId="77777777" w:rsidR="00364472" w:rsidRPr="00E94D7D" w:rsidRDefault="00364472" w:rsidP="00D70988">
            <w:pPr>
              <w:pStyle w:val="Bullet1"/>
              <w:rPr>
                <w:rFonts w:cs="Arial"/>
                <w:szCs w:val="22"/>
              </w:rPr>
            </w:pPr>
            <w:r w:rsidRPr="00D70988">
              <w:rPr>
                <w:b/>
                <w:bCs/>
              </w:rPr>
              <w:t>Including reproductive health specialists</w:t>
            </w:r>
            <w:r w:rsidRPr="00E94D7D">
              <w:rPr>
                <w:rFonts w:cs="Arial"/>
                <w:szCs w:val="22"/>
              </w:rPr>
              <w:t xml:space="preserve"> within AYA MDTs.</w:t>
            </w:r>
          </w:p>
          <w:p w14:paraId="75B40CF2" w14:textId="3B79281E" w:rsidR="00364472" w:rsidRPr="00E94D7D" w:rsidRDefault="00364472" w:rsidP="00D70988">
            <w:pPr>
              <w:pStyle w:val="Bullet1"/>
            </w:pPr>
            <w:r w:rsidRPr="00E94D7D">
              <w:t xml:space="preserve">Providing </w:t>
            </w:r>
            <w:r w:rsidRPr="00E94D7D">
              <w:rPr>
                <w:b/>
              </w:rPr>
              <w:t>transparent information about the logistics and costs</w:t>
            </w:r>
            <w:r w:rsidRPr="00E94D7D">
              <w:t xml:space="preserve"> of available </w:t>
            </w:r>
            <w:r w:rsidR="00AB3533">
              <w:t>Fertility Preservation (</w:t>
            </w:r>
            <w:r w:rsidRPr="00E94D7D">
              <w:t>FP</w:t>
            </w:r>
            <w:r w:rsidR="00AB3533">
              <w:t>)</w:t>
            </w:r>
            <w:r w:rsidRPr="00E94D7D">
              <w:t xml:space="preserve"> options</w:t>
            </w:r>
          </w:p>
          <w:p w14:paraId="176187D8" w14:textId="77777777" w:rsidR="00364472" w:rsidRPr="00E94D7D" w:rsidRDefault="00364472" w:rsidP="00D70988">
            <w:pPr>
              <w:pStyle w:val="Bullet1"/>
            </w:pPr>
            <w:r w:rsidRPr="00E94D7D">
              <w:t>Implementing initiatives to cover or reduce the cost of FP</w:t>
            </w:r>
          </w:p>
        </w:tc>
      </w:tr>
      <w:tr w:rsidR="00364472" w:rsidRPr="00E94D7D" w14:paraId="452DD9E7" w14:textId="77777777" w:rsidTr="00C16E54">
        <w:trPr>
          <w:trHeight w:val="1923"/>
        </w:trPr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45BA" w14:textId="376F17C8" w:rsidR="00364472" w:rsidRPr="00E94D7D" w:rsidRDefault="00364472" w:rsidP="00DD0E19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>2.3: Transitions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E94D7D">
              <w:rPr>
                <w:rFonts w:cs="Arial"/>
                <w:bCs/>
                <w:sz w:val="22"/>
                <w:szCs w:val="22"/>
              </w:rPr>
              <w:t>(from paediatric to adult and across stages of care into survivorship)</w:t>
            </w: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B462" w14:textId="77777777" w:rsidR="00364472" w:rsidRPr="00E94D7D" w:rsidRDefault="00364472" w:rsidP="00D70988">
            <w:pPr>
              <w:pStyle w:val="Bullet1"/>
            </w:pPr>
            <w:r w:rsidRPr="00E94D7D">
              <w:t xml:space="preserve">Creating </w:t>
            </w:r>
            <w:r w:rsidRPr="00815AE6">
              <w:rPr>
                <w:b/>
                <w:bCs/>
              </w:rPr>
              <w:t>specialised, integrated environments</w:t>
            </w:r>
            <w:r w:rsidRPr="00E94D7D">
              <w:t xml:space="preserve"> for AYA cancer patients </w:t>
            </w:r>
          </w:p>
          <w:p w14:paraId="00EFD5D8" w14:textId="77777777" w:rsidR="00364472" w:rsidRPr="00E94D7D" w:rsidRDefault="00364472" w:rsidP="00D70988">
            <w:pPr>
              <w:pStyle w:val="Bullet1"/>
            </w:pPr>
            <w:r w:rsidRPr="00E94D7D">
              <w:rPr>
                <w:b/>
                <w:bCs/>
              </w:rPr>
              <w:t>M</w:t>
            </w:r>
            <w:r>
              <w:rPr>
                <w:b/>
                <w:bCs/>
              </w:rPr>
              <w:t>DB</w:t>
            </w:r>
            <w:r w:rsidRPr="00E94D7D">
              <w:rPr>
                <w:b/>
                <w:bCs/>
              </w:rPr>
              <w:t>Ts</w:t>
            </w:r>
            <w:r>
              <w:rPr>
                <w:b/>
                <w:bCs/>
              </w:rPr>
              <w:t>/MDTs</w:t>
            </w:r>
            <w:r w:rsidRPr="00E94D7D">
              <w:t xml:space="preserve"> (with both paediatric and adult oncologists) to define and manage treatment plans in younger age ranges</w:t>
            </w:r>
          </w:p>
          <w:p w14:paraId="0BEB6277" w14:textId="77777777" w:rsidR="00364472" w:rsidRPr="00E94D7D" w:rsidRDefault="00364472" w:rsidP="00D70988">
            <w:pPr>
              <w:pStyle w:val="Bullet1"/>
            </w:pPr>
            <w:r w:rsidRPr="00E94D7D">
              <w:rPr>
                <w:b/>
              </w:rPr>
              <w:t>Using a dedicated care coordinator</w:t>
            </w:r>
            <w:r w:rsidRPr="00E94D7D">
              <w:t xml:space="preserve"> to support continuity of care, including in the transition to survivorship</w:t>
            </w:r>
          </w:p>
          <w:p w14:paraId="602D1C0A" w14:textId="77777777" w:rsidR="00364472" w:rsidRPr="00E94D7D" w:rsidRDefault="00364472" w:rsidP="00D70988">
            <w:pPr>
              <w:pStyle w:val="Bullet1"/>
            </w:pPr>
            <w:r w:rsidRPr="00E94D7D">
              <w:rPr>
                <w:b/>
              </w:rPr>
              <w:t>Taking a planned and gradual approach to transitioning</w:t>
            </w:r>
            <w:r w:rsidRPr="00E94D7D">
              <w:t xml:space="preserve"> between paediatric and adult services, particularly for survivorship.</w:t>
            </w:r>
          </w:p>
          <w:p w14:paraId="3D998270" w14:textId="77777777" w:rsidR="00364472" w:rsidRPr="00E94D7D" w:rsidRDefault="00364472" w:rsidP="00364472">
            <w:pPr>
              <w:pStyle w:val="TableBullet"/>
              <w:ind w:left="0" w:firstLine="0"/>
              <w:rPr>
                <w:rFonts w:cs="Arial"/>
                <w:sz w:val="22"/>
                <w:szCs w:val="22"/>
              </w:rPr>
            </w:pPr>
          </w:p>
        </w:tc>
      </w:tr>
      <w:tr w:rsidR="00364472" w:rsidRPr="00E94D7D" w14:paraId="22E23800" w14:textId="77777777" w:rsidTr="00C16E54"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E3B3" w14:textId="7DE41EB6" w:rsidR="00364472" w:rsidRPr="00AB3533" w:rsidRDefault="00364472" w:rsidP="00AB3533">
            <w:pPr>
              <w:pStyle w:val="TableTextNoSpace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 xml:space="preserve">2.4: Centralised and coordinated specialised AYA care </w:t>
            </w: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0B24" w14:textId="77777777" w:rsidR="00364472" w:rsidRPr="00E94D7D" w:rsidRDefault="00364472" w:rsidP="00D70988">
            <w:pPr>
              <w:pStyle w:val="Bullet1"/>
            </w:pPr>
            <w:r w:rsidRPr="00E94D7D">
              <w:rPr>
                <w:b/>
              </w:rPr>
              <w:t>Providing integrated, multidisciplinary care</w:t>
            </w:r>
            <w:r w:rsidRPr="00E94D7D">
              <w:t xml:space="preserve"> that bridges the traditional divide between paediatric and adult oncology.</w:t>
            </w:r>
          </w:p>
        </w:tc>
      </w:tr>
      <w:tr w:rsidR="00364472" w:rsidRPr="00E94D7D" w14:paraId="38357072" w14:textId="77777777" w:rsidTr="00C16E54"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1C42" w14:textId="24B702B1" w:rsidR="00364472" w:rsidRPr="00E94D7D" w:rsidRDefault="00364472" w:rsidP="00DD0E19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lastRenderedPageBreak/>
              <w:t xml:space="preserve">2.5: </w:t>
            </w:r>
            <w:r w:rsidR="00DD0E19">
              <w:rPr>
                <w:rFonts w:cs="Arial"/>
                <w:b/>
                <w:sz w:val="22"/>
                <w:szCs w:val="22"/>
              </w:rPr>
              <w:t>Multi-disciplinary teams (</w:t>
            </w:r>
            <w:r>
              <w:rPr>
                <w:rFonts w:cs="Arial"/>
                <w:b/>
                <w:sz w:val="22"/>
                <w:szCs w:val="22"/>
              </w:rPr>
              <w:t>MDTs</w:t>
            </w:r>
            <w:r w:rsidR="00DD0E19">
              <w:rPr>
                <w:rFonts w:cs="Arial"/>
                <w:b/>
                <w:sz w:val="22"/>
                <w:szCs w:val="22"/>
              </w:rPr>
              <w:t>)</w:t>
            </w:r>
          </w:p>
          <w:p w14:paraId="02C7FC07" w14:textId="77777777" w:rsidR="00364472" w:rsidRPr="00E94D7D" w:rsidRDefault="00364472" w:rsidP="00DD0E19">
            <w:pPr>
              <w:pStyle w:val="TableText"/>
              <w:rPr>
                <w:rFonts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492C" w14:textId="199AA63B" w:rsidR="00364472" w:rsidRPr="00D70988" w:rsidRDefault="00364472" w:rsidP="00D70988">
            <w:pPr>
              <w:pStyle w:val="Bullet1"/>
            </w:pPr>
            <w:r w:rsidRPr="00D70988">
              <w:t xml:space="preserve">Using </w:t>
            </w:r>
            <w:r w:rsidRPr="00815AE6">
              <w:rPr>
                <w:b/>
                <w:bCs/>
              </w:rPr>
              <w:t xml:space="preserve">structured </w:t>
            </w:r>
            <w:r w:rsidR="00815AE6" w:rsidRPr="00815AE6">
              <w:rPr>
                <w:rFonts w:cs="Arial"/>
                <w:b/>
                <w:bCs/>
                <w:szCs w:val="22"/>
              </w:rPr>
              <w:t>multi-disciplinary teams(</w:t>
            </w:r>
            <w:r w:rsidRPr="00815AE6">
              <w:rPr>
                <w:b/>
                <w:bCs/>
              </w:rPr>
              <w:t>MDTs</w:t>
            </w:r>
            <w:r w:rsidR="00815AE6" w:rsidRPr="00815AE6">
              <w:rPr>
                <w:b/>
                <w:bCs/>
              </w:rPr>
              <w:t>)</w:t>
            </w:r>
            <w:r w:rsidRPr="00815AE6">
              <w:rPr>
                <w:b/>
                <w:bCs/>
              </w:rPr>
              <w:t>/</w:t>
            </w:r>
            <w:r w:rsidR="00815AE6" w:rsidRPr="00815AE6">
              <w:rPr>
                <w:b/>
                <w:bCs/>
              </w:rPr>
              <w:t>multidisciplinary tumour boards (</w:t>
            </w:r>
            <w:r w:rsidRPr="00815AE6">
              <w:rPr>
                <w:b/>
                <w:bCs/>
              </w:rPr>
              <w:t>MDTBs</w:t>
            </w:r>
            <w:r w:rsidR="00815AE6" w:rsidRPr="00815AE6">
              <w:rPr>
                <w:b/>
                <w:bCs/>
              </w:rPr>
              <w:t>)</w:t>
            </w:r>
            <w:r w:rsidRPr="00D70988">
              <w:t xml:space="preserve"> as the </w:t>
            </w:r>
            <w:r w:rsidRPr="00815AE6">
              <w:rPr>
                <w:b/>
                <w:bCs/>
              </w:rPr>
              <w:t>backbone of communication and decision-making</w:t>
            </w:r>
            <w:r w:rsidRPr="00D70988">
              <w:t xml:space="preserve"> in AYA cancer care.</w:t>
            </w:r>
          </w:p>
          <w:p w14:paraId="512FF267" w14:textId="77777777" w:rsidR="00364472" w:rsidRPr="00D70988" w:rsidRDefault="00364472" w:rsidP="00D70988">
            <w:pPr>
              <w:pStyle w:val="Bullet1"/>
            </w:pPr>
            <w:r w:rsidRPr="00815AE6">
              <w:rPr>
                <w:b/>
                <w:bCs/>
              </w:rPr>
              <w:t>Core team</w:t>
            </w:r>
            <w:r w:rsidRPr="00D70988">
              <w:t xml:space="preserve"> to include: </w:t>
            </w:r>
          </w:p>
          <w:p w14:paraId="37734CF5" w14:textId="77777777" w:rsidR="00364472" w:rsidRPr="0045166A" w:rsidRDefault="00364472" w:rsidP="00364472">
            <w:pPr>
              <w:pStyle w:val="TableText"/>
              <w:numPr>
                <w:ilvl w:val="1"/>
                <w:numId w:val="3"/>
              </w:numPr>
              <w:suppressAutoHyphens/>
              <w:autoSpaceDN w:val="0"/>
              <w:spacing w:after="0"/>
              <w:rPr>
                <w:rFonts w:cs="Arial"/>
                <w:szCs w:val="22"/>
              </w:rPr>
            </w:pPr>
            <w:r w:rsidRPr="0045166A">
              <w:rPr>
                <w:rFonts w:cs="Arial"/>
                <w:sz w:val="22"/>
                <w:szCs w:val="22"/>
              </w:rPr>
              <w:t>M</w:t>
            </w:r>
            <w:r w:rsidRPr="00E94D7D">
              <w:rPr>
                <w:rFonts w:cs="Arial"/>
                <w:sz w:val="22"/>
                <w:szCs w:val="22"/>
              </w:rPr>
              <w:t xml:space="preserve">edical, radiation and surgical oncologists </w:t>
            </w:r>
          </w:p>
          <w:p w14:paraId="5D5C304A" w14:textId="77777777" w:rsidR="00364472" w:rsidRPr="0045166A" w:rsidRDefault="00364472" w:rsidP="00364472">
            <w:pPr>
              <w:pStyle w:val="TableText"/>
              <w:numPr>
                <w:ilvl w:val="1"/>
                <w:numId w:val="3"/>
              </w:numPr>
              <w:suppressAutoHyphens/>
              <w:autoSpaceDN w:val="0"/>
              <w:spacing w:after="0"/>
              <w:rPr>
                <w:rFonts w:cs="Arial"/>
                <w:szCs w:val="22"/>
              </w:rPr>
            </w:pPr>
            <w:r w:rsidRPr="0045166A">
              <w:rPr>
                <w:rFonts w:cs="Arial"/>
                <w:sz w:val="22"/>
                <w:szCs w:val="22"/>
              </w:rPr>
              <w:t>H</w:t>
            </w:r>
            <w:r w:rsidRPr="00E94D7D">
              <w:rPr>
                <w:rFonts w:cs="Arial"/>
                <w:sz w:val="22"/>
                <w:szCs w:val="22"/>
              </w:rPr>
              <w:t>aematologists</w:t>
            </w:r>
          </w:p>
          <w:p w14:paraId="34B56631" w14:textId="77777777" w:rsidR="00364472" w:rsidRPr="0045166A" w:rsidRDefault="00364472" w:rsidP="00364472">
            <w:pPr>
              <w:pStyle w:val="TableText"/>
              <w:numPr>
                <w:ilvl w:val="1"/>
                <w:numId w:val="3"/>
              </w:numPr>
              <w:suppressAutoHyphens/>
              <w:autoSpaceDN w:val="0"/>
              <w:spacing w:after="0"/>
              <w:rPr>
                <w:rFonts w:cs="Arial"/>
                <w:szCs w:val="22"/>
              </w:rPr>
            </w:pPr>
            <w:r w:rsidRPr="0045166A">
              <w:rPr>
                <w:rFonts w:cs="Arial"/>
                <w:sz w:val="22"/>
                <w:szCs w:val="22"/>
              </w:rPr>
              <w:t>P</w:t>
            </w:r>
            <w:r w:rsidRPr="00E94D7D">
              <w:rPr>
                <w:rFonts w:cs="Arial"/>
                <w:sz w:val="22"/>
                <w:szCs w:val="22"/>
              </w:rPr>
              <w:t xml:space="preserve">athologists </w:t>
            </w:r>
          </w:p>
          <w:p w14:paraId="2E1E4171" w14:textId="77777777" w:rsidR="00364472" w:rsidRPr="0045166A" w:rsidRDefault="00364472" w:rsidP="00364472">
            <w:pPr>
              <w:pStyle w:val="TableText"/>
              <w:numPr>
                <w:ilvl w:val="1"/>
                <w:numId w:val="3"/>
              </w:numPr>
              <w:suppressAutoHyphens/>
              <w:autoSpaceDN w:val="0"/>
              <w:spacing w:after="0"/>
              <w:rPr>
                <w:rFonts w:cs="Arial"/>
                <w:sz w:val="22"/>
                <w:szCs w:val="22"/>
              </w:rPr>
            </w:pPr>
            <w:r w:rsidRPr="0045166A">
              <w:rPr>
                <w:rFonts w:cs="Arial"/>
                <w:sz w:val="22"/>
                <w:szCs w:val="22"/>
              </w:rPr>
              <w:t>R</w:t>
            </w:r>
            <w:r w:rsidRPr="00E94D7D">
              <w:rPr>
                <w:rFonts w:cs="Arial"/>
                <w:sz w:val="22"/>
                <w:szCs w:val="22"/>
              </w:rPr>
              <w:t xml:space="preserve">adiologists </w:t>
            </w:r>
          </w:p>
          <w:p w14:paraId="59C14525" w14:textId="1C817F07" w:rsidR="00364472" w:rsidRPr="0045166A" w:rsidRDefault="00364472" w:rsidP="00815AE6">
            <w:pPr>
              <w:pStyle w:val="TableText"/>
              <w:suppressAutoHyphens/>
              <w:autoSpaceDN w:val="0"/>
              <w:spacing w:after="0"/>
              <w:ind w:left="357"/>
              <w:rPr>
                <w:rFonts w:cs="Arial"/>
                <w:sz w:val="22"/>
                <w:szCs w:val="22"/>
              </w:rPr>
            </w:pPr>
            <w:r w:rsidRPr="0045166A">
              <w:rPr>
                <w:rFonts w:cs="Arial"/>
                <w:sz w:val="22"/>
                <w:szCs w:val="22"/>
              </w:rPr>
              <w:t xml:space="preserve">However, </w:t>
            </w:r>
            <w:r w:rsidR="00815AE6">
              <w:rPr>
                <w:rFonts w:cs="Arial"/>
                <w:sz w:val="22"/>
                <w:szCs w:val="22"/>
              </w:rPr>
              <w:t xml:space="preserve">the team </w:t>
            </w:r>
            <w:r w:rsidRPr="0045166A">
              <w:rPr>
                <w:rFonts w:cs="Arial"/>
                <w:sz w:val="22"/>
                <w:szCs w:val="22"/>
              </w:rPr>
              <w:t xml:space="preserve">should be </w:t>
            </w:r>
            <w:r w:rsidRPr="0045166A">
              <w:rPr>
                <w:rFonts w:cs="Arial"/>
                <w:b/>
                <w:sz w:val="22"/>
                <w:szCs w:val="22"/>
              </w:rPr>
              <w:t>f</w:t>
            </w:r>
            <w:r w:rsidRPr="00E94D7D">
              <w:rPr>
                <w:rFonts w:cs="Arial"/>
                <w:b/>
                <w:sz w:val="22"/>
                <w:szCs w:val="22"/>
              </w:rPr>
              <w:t>lexib</w:t>
            </w:r>
            <w:r w:rsidRPr="0045166A">
              <w:rPr>
                <w:rFonts w:cs="Arial"/>
                <w:b/>
                <w:sz w:val="22"/>
                <w:szCs w:val="22"/>
              </w:rPr>
              <w:t xml:space="preserve">le </w:t>
            </w:r>
            <w:r w:rsidRPr="00E94D7D">
              <w:rPr>
                <w:rFonts w:cs="Arial"/>
                <w:b/>
                <w:sz w:val="22"/>
                <w:szCs w:val="22"/>
              </w:rPr>
              <w:t>in composition</w:t>
            </w:r>
            <w:r w:rsidRPr="00E94D7D">
              <w:rPr>
                <w:rFonts w:cs="Arial"/>
                <w:sz w:val="22"/>
                <w:szCs w:val="22"/>
              </w:rPr>
              <w:t xml:space="preserve"> </w:t>
            </w:r>
            <w:r w:rsidRPr="0045166A">
              <w:rPr>
                <w:rFonts w:cs="Arial"/>
                <w:sz w:val="22"/>
                <w:szCs w:val="22"/>
              </w:rPr>
              <w:t>to meet</w:t>
            </w:r>
            <w:r w:rsidRPr="00E94D7D">
              <w:rPr>
                <w:rFonts w:cs="Arial"/>
                <w:sz w:val="22"/>
                <w:szCs w:val="22"/>
              </w:rPr>
              <w:t xml:space="preserve"> patient needs</w:t>
            </w:r>
            <w:r w:rsidRPr="0045166A">
              <w:rPr>
                <w:rFonts w:cs="Arial"/>
                <w:sz w:val="22"/>
                <w:szCs w:val="22"/>
              </w:rPr>
              <w:t>.</w:t>
            </w:r>
          </w:p>
          <w:p w14:paraId="66868603" w14:textId="77777777" w:rsidR="00364472" w:rsidRPr="00E94D7D" w:rsidRDefault="00364472" w:rsidP="00364472">
            <w:pPr>
              <w:pStyle w:val="TableText"/>
              <w:numPr>
                <w:ilvl w:val="0"/>
                <w:numId w:val="3"/>
              </w:numPr>
              <w:suppressAutoHyphens/>
              <w:autoSpaceDN w:val="0"/>
              <w:spacing w:after="0"/>
              <w:ind w:left="357" w:hanging="357"/>
              <w:rPr>
                <w:rFonts w:cs="Arial"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>Supported by a wide range of professionals</w:t>
            </w:r>
            <w:r w:rsidRPr="00E94D7D">
              <w:rPr>
                <w:rFonts w:cs="Arial"/>
                <w:sz w:val="22"/>
                <w:szCs w:val="22"/>
              </w:rPr>
              <w:t xml:space="preserve"> to provide age-specific care to AYAs encompassing developmental, educational, sexuality, psychosocial (including body image) and fertility needs.</w:t>
            </w:r>
          </w:p>
          <w:p w14:paraId="51D01EAB" w14:textId="77777777" w:rsidR="00364472" w:rsidRPr="00E94D7D" w:rsidRDefault="00364472" w:rsidP="003809FC">
            <w:pPr>
              <w:pStyle w:val="TableBullet"/>
              <w:ind w:firstLine="0"/>
              <w:rPr>
                <w:sz w:val="22"/>
                <w:szCs w:val="22"/>
              </w:rPr>
            </w:pPr>
          </w:p>
        </w:tc>
      </w:tr>
      <w:tr w:rsidR="00364472" w:rsidRPr="00E94D7D" w14:paraId="397F9596" w14:textId="77777777" w:rsidTr="00C16E54">
        <w:trPr>
          <w:trHeight w:val="699"/>
        </w:trPr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9596" w14:textId="1BEF1725" w:rsidR="00364472" w:rsidRPr="00E94D7D" w:rsidRDefault="00364472" w:rsidP="003809FC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>2.6: Age-specialised healthcare staff training</w:t>
            </w: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82F9" w14:textId="77777777" w:rsidR="00364472" w:rsidRPr="00E94D7D" w:rsidRDefault="00364472" w:rsidP="00364472">
            <w:pPr>
              <w:pStyle w:val="Bullet1"/>
              <w:numPr>
                <w:ilvl w:val="0"/>
                <w:numId w:val="5"/>
              </w:numPr>
            </w:pPr>
            <w:r w:rsidRPr="00E94D7D">
              <w:t xml:space="preserve">Ensuring </w:t>
            </w:r>
            <w:r w:rsidRPr="00815AE6">
              <w:rPr>
                <w:b/>
                <w:bCs/>
              </w:rPr>
              <w:t>professionals</w:t>
            </w:r>
            <w:r w:rsidRPr="00E94D7D">
              <w:t xml:space="preserve"> involved in providing cancer care for AYA patients </w:t>
            </w:r>
            <w:r w:rsidRPr="00E94D7D">
              <w:rPr>
                <w:b/>
              </w:rPr>
              <w:t>have specialised knowledge and training</w:t>
            </w:r>
            <w:r w:rsidRPr="14CC80F7">
              <w:rPr>
                <w:b/>
              </w:rPr>
              <w:t xml:space="preserve"> </w:t>
            </w:r>
            <w:r w:rsidRPr="00825797">
              <w:rPr>
                <w:bCs/>
              </w:rPr>
              <w:t>that reflect the biological, developmental and psychosocial complexity of this population</w:t>
            </w:r>
          </w:p>
          <w:p w14:paraId="17873817" w14:textId="77777777" w:rsidR="00364472" w:rsidRPr="00E94D7D" w:rsidRDefault="00364472" w:rsidP="00364472">
            <w:pPr>
              <w:pStyle w:val="Bullet1"/>
              <w:numPr>
                <w:ilvl w:val="0"/>
                <w:numId w:val="5"/>
              </w:numPr>
              <w:rPr>
                <w:rFonts w:cs="Arial"/>
              </w:rPr>
            </w:pPr>
            <w:r w:rsidRPr="00E94D7D">
              <w:rPr>
                <w:b/>
              </w:rPr>
              <w:t xml:space="preserve">Ensuring professionals work in </w:t>
            </w:r>
            <w:r w:rsidRPr="00E94D7D">
              <w:rPr>
                <w:b/>
                <w:bCs/>
              </w:rPr>
              <w:t>MDTs</w:t>
            </w:r>
            <w:r w:rsidRPr="00E94D7D">
              <w:t xml:space="preserve"> (as above). </w:t>
            </w:r>
          </w:p>
        </w:tc>
      </w:tr>
      <w:tr w:rsidR="00364472" w:rsidRPr="00E94D7D" w14:paraId="70650A3D" w14:textId="77777777" w:rsidTr="00C16E54">
        <w:trPr>
          <w:trHeight w:val="2014"/>
        </w:trPr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5D0D" w14:textId="3E57ADEC" w:rsidR="00364472" w:rsidRPr="00E94D7D" w:rsidRDefault="00364472" w:rsidP="003809FC">
            <w:pPr>
              <w:pStyle w:val="TableTextNoSpace"/>
              <w:ind w:left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25450076">
              <w:rPr>
                <w:rFonts w:cs="Arial"/>
                <w:b/>
                <w:bCs/>
                <w:sz w:val="22"/>
                <w:szCs w:val="22"/>
              </w:rPr>
              <w:t xml:space="preserve">2.7: Voice and choice </w:t>
            </w:r>
          </w:p>
          <w:p w14:paraId="32F0B974" w14:textId="77777777" w:rsidR="00364472" w:rsidRPr="00E94D7D" w:rsidRDefault="00364472" w:rsidP="003809FC">
            <w:pPr>
              <w:pStyle w:val="TableText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6930" w14:textId="50E16A2E" w:rsidR="00364472" w:rsidRPr="00E94D7D" w:rsidRDefault="00364472" w:rsidP="00364472">
            <w:pPr>
              <w:pStyle w:val="Bullet1"/>
              <w:numPr>
                <w:ilvl w:val="0"/>
                <w:numId w:val="6"/>
              </w:numPr>
            </w:pPr>
            <w:r w:rsidRPr="00E94D7D">
              <w:rPr>
                <w:b/>
              </w:rPr>
              <w:t>Ensuring shared decision-making</w:t>
            </w:r>
            <w:r w:rsidRPr="00E94D7D">
              <w:t xml:space="preserve">, particularly in </w:t>
            </w:r>
            <w:r w:rsidR="00815AE6">
              <w:t>f</w:t>
            </w:r>
            <w:r w:rsidR="00825797">
              <w:rPr>
                <w:rFonts w:cs="Arial"/>
                <w:szCs w:val="22"/>
              </w:rPr>
              <w:t xml:space="preserve">ertility </w:t>
            </w:r>
            <w:r w:rsidR="00815AE6">
              <w:rPr>
                <w:rFonts w:cs="Arial"/>
                <w:szCs w:val="22"/>
              </w:rPr>
              <w:t>p</w:t>
            </w:r>
            <w:r w:rsidR="00825797">
              <w:rPr>
                <w:rFonts w:cs="Arial"/>
                <w:szCs w:val="22"/>
              </w:rPr>
              <w:t>reservation (</w:t>
            </w:r>
            <w:r>
              <w:t>FP</w:t>
            </w:r>
            <w:r w:rsidR="00825797">
              <w:t>)</w:t>
            </w:r>
            <w:r w:rsidRPr="00E94D7D">
              <w:t xml:space="preserve"> and treatment planning, where patient autonomy and informed consent are essential.</w:t>
            </w:r>
          </w:p>
          <w:p w14:paraId="2F5B2C4F" w14:textId="77777777" w:rsidR="00364472" w:rsidRPr="00970B67" w:rsidRDefault="00364472" w:rsidP="00364472">
            <w:pPr>
              <w:pStyle w:val="Bullet1"/>
              <w:numPr>
                <w:ilvl w:val="0"/>
                <w:numId w:val="6"/>
              </w:numPr>
            </w:pPr>
            <w:r w:rsidRPr="007C3C57">
              <w:rPr>
                <w:b/>
                <w:bCs/>
              </w:rPr>
              <w:t>Ensuring the involvement of parents / carers, friends and partners</w:t>
            </w:r>
            <w:r>
              <w:t xml:space="preserve"> in decision making is </w:t>
            </w:r>
            <w:r w:rsidRPr="00970B67">
              <w:rPr>
                <w:b/>
                <w:bCs/>
              </w:rPr>
              <w:t>informed by the level preferred by the AYA</w:t>
            </w:r>
            <w:r>
              <w:rPr>
                <w:b/>
                <w:bCs/>
              </w:rPr>
              <w:t xml:space="preserve"> patient</w:t>
            </w:r>
            <w:r>
              <w:t>.</w:t>
            </w:r>
          </w:p>
          <w:p w14:paraId="57BF8C51" w14:textId="77777777" w:rsidR="00364472" w:rsidRPr="00D26745" w:rsidRDefault="00364472" w:rsidP="00364472">
            <w:pPr>
              <w:pStyle w:val="Bullet1"/>
              <w:numPr>
                <w:ilvl w:val="0"/>
                <w:numId w:val="6"/>
              </w:numPr>
              <w:rPr>
                <w:szCs w:val="22"/>
              </w:rPr>
            </w:pPr>
            <w:r w:rsidRPr="00E94D7D">
              <w:rPr>
                <w:b/>
              </w:rPr>
              <w:t>Utilising feedback mechanisms</w:t>
            </w:r>
            <w:r w:rsidRPr="00E94D7D">
              <w:rPr>
                <w:szCs w:val="22"/>
              </w:rPr>
              <w:t xml:space="preserve"> to further ensure that care reflects lived experience.  </w:t>
            </w:r>
          </w:p>
          <w:p w14:paraId="6A76F36A" w14:textId="77777777" w:rsidR="00364472" w:rsidRPr="00E94D7D" w:rsidRDefault="00364472" w:rsidP="00364472">
            <w:pPr>
              <w:pStyle w:val="Bullet1"/>
              <w:numPr>
                <w:ilvl w:val="0"/>
                <w:numId w:val="6"/>
              </w:numPr>
              <w:rPr>
                <w:rFonts w:cs="Arial"/>
              </w:rPr>
            </w:pPr>
            <w:r w:rsidRPr="00E94D7D">
              <w:rPr>
                <w:rFonts w:cs="Arial"/>
              </w:rPr>
              <w:t xml:space="preserve">Draft </w:t>
            </w:r>
            <w:r w:rsidRPr="007C3C57">
              <w:rPr>
                <w:rFonts w:cs="Arial"/>
                <w:b/>
                <w:bCs/>
              </w:rPr>
              <w:t>guidelines</w:t>
            </w:r>
            <w:r w:rsidRPr="00E94D7D">
              <w:rPr>
                <w:rFonts w:cs="Arial"/>
              </w:rPr>
              <w:t xml:space="preserve"> should be </w:t>
            </w:r>
            <w:r w:rsidRPr="00E94D7D">
              <w:rPr>
                <w:rFonts w:cs="Arial"/>
                <w:b/>
              </w:rPr>
              <w:t>reviewed by relevant stakeholders</w:t>
            </w:r>
            <w:r w:rsidRPr="00E94D7D">
              <w:rPr>
                <w:rFonts w:cs="Arial"/>
              </w:rPr>
              <w:t xml:space="preserve"> including experts and patient representatives to ensure their perspectives are incorporated and to support dissemination and implementation.</w:t>
            </w:r>
          </w:p>
        </w:tc>
      </w:tr>
      <w:tr w:rsidR="00364472" w:rsidRPr="00E94D7D" w14:paraId="0651F0D9" w14:textId="77777777" w:rsidTr="00C16E54">
        <w:tc>
          <w:tcPr>
            <w:tcW w:w="1388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B31A" w14:textId="77777777" w:rsidR="00364472" w:rsidRPr="00E94D7D" w:rsidRDefault="00364472" w:rsidP="00DD0E19">
            <w:pPr>
              <w:pStyle w:val="TableText"/>
              <w:numPr>
                <w:ilvl w:val="0"/>
                <w:numId w:val="2"/>
              </w:numPr>
              <w:suppressAutoHyphens/>
              <w:autoSpaceDN w:val="0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>Research and clinical trials</w:t>
            </w:r>
          </w:p>
        </w:tc>
      </w:tr>
      <w:tr w:rsidR="00364472" w:rsidRPr="00C24D91" w14:paraId="585C392A" w14:textId="77777777" w:rsidTr="00C16E54"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66D0" w14:textId="44B81B83" w:rsidR="00364472" w:rsidRPr="00E94D7D" w:rsidRDefault="00364472" w:rsidP="003809FC">
            <w:pPr>
              <w:pStyle w:val="TableText"/>
              <w:ind w:left="0"/>
              <w:jc w:val="both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 xml:space="preserve">3.1: Research and clinical trials: </w:t>
            </w: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F2F5" w14:textId="77777777" w:rsidR="00364472" w:rsidRDefault="00364472" w:rsidP="00364472">
            <w:pPr>
              <w:pStyle w:val="Bullet1"/>
            </w:pPr>
            <w:r w:rsidRPr="00E94D7D">
              <w:rPr>
                <w:b/>
                <w:bCs/>
              </w:rPr>
              <w:t>Prioritising research</w:t>
            </w:r>
            <w:r w:rsidRPr="00E94D7D">
              <w:t xml:space="preserve"> in the following </w:t>
            </w:r>
            <w:r w:rsidRPr="00815AE6">
              <w:rPr>
                <w:b/>
                <w:bCs/>
              </w:rPr>
              <w:t>areas</w:t>
            </w:r>
            <w:r w:rsidRPr="00E94D7D">
              <w:t xml:space="preserve">: </w:t>
            </w:r>
          </w:p>
          <w:p w14:paraId="72728016" w14:textId="12E3878A" w:rsidR="00364472" w:rsidRDefault="00364472" w:rsidP="00364472">
            <w:pPr>
              <w:pStyle w:val="Bullet2"/>
              <w:numPr>
                <w:ilvl w:val="1"/>
                <w:numId w:val="7"/>
              </w:numPr>
            </w:pPr>
            <w:r w:rsidRPr="00E94D7D">
              <w:t xml:space="preserve">biological </w:t>
            </w:r>
            <w:r>
              <w:t xml:space="preserve">and causal </w:t>
            </w:r>
            <w:r w:rsidRPr="00E94D7D">
              <w:t xml:space="preserve">mechanisms </w:t>
            </w:r>
          </w:p>
          <w:p w14:paraId="2DA8B917" w14:textId="2AD31488" w:rsidR="00364472" w:rsidRDefault="00364472" w:rsidP="00364472">
            <w:pPr>
              <w:pStyle w:val="Bullet2"/>
              <w:numPr>
                <w:ilvl w:val="1"/>
                <w:numId w:val="7"/>
              </w:numPr>
            </w:pPr>
            <w:r w:rsidRPr="00E94D7D">
              <w:t xml:space="preserve">survivorship and </w:t>
            </w:r>
            <w:r w:rsidR="007C3C57">
              <w:t>Long-Term Follow Up (</w:t>
            </w:r>
            <w:r w:rsidRPr="00E94D7D">
              <w:t>LTFU</w:t>
            </w:r>
            <w:r w:rsidR="007C3C57">
              <w:t>)</w:t>
            </w:r>
          </w:p>
          <w:p w14:paraId="3CD16CD1" w14:textId="2DB75CC0" w:rsidR="00364472" w:rsidRDefault="00364472" w:rsidP="00364472">
            <w:pPr>
              <w:pStyle w:val="Bullet2"/>
              <w:numPr>
                <w:ilvl w:val="1"/>
                <w:numId w:val="7"/>
              </w:numPr>
            </w:pPr>
            <w:r w:rsidRPr="00E94D7D">
              <w:t>psychosocial care and patient-centred outcomes</w:t>
            </w:r>
          </w:p>
          <w:p w14:paraId="49485003" w14:textId="77777777" w:rsidR="00364472" w:rsidRDefault="00364472" w:rsidP="00364472">
            <w:pPr>
              <w:pStyle w:val="Bullet2"/>
              <w:numPr>
                <w:ilvl w:val="1"/>
                <w:numId w:val="7"/>
              </w:numPr>
            </w:pPr>
            <w:r>
              <w:t>treatment optimisation and de-escalation</w:t>
            </w:r>
          </w:p>
          <w:p w14:paraId="763264DE" w14:textId="0E271863" w:rsidR="00364472" w:rsidRDefault="00364472" w:rsidP="00364472">
            <w:pPr>
              <w:pStyle w:val="Bullet2"/>
              <w:numPr>
                <w:ilvl w:val="1"/>
                <w:numId w:val="7"/>
              </w:numPr>
            </w:pPr>
            <w:r w:rsidRPr="00E94D7D">
              <w:t>patient involvement and equity</w:t>
            </w:r>
          </w:p>
          <w:p w14:paraId="06549A6E" w14:textId="6A0CB2AC" w:rsidR="00364472" w:rsidRDefault="00364472" w:rsidP="00364472">
            <w:pPr>
              <w:pStyle w:val="Bullet2"/>
              <w:numPr>
                <w:ilvl w:val="1"/>
                <w:numId w:val="7"/>
              </w:numPr>
            </w:pPr>
            <w:r w:rsidRPr="00E94D7D">
              <w:t>data, care models and service provision</w:t>
            </w:r>
          </w:p>
          <w:p w14:paraId="76B51226" w14:textId="77777777" w:rsidR="00364472" w:rsidRDefault="00364472" w:rsidP="00364472">
            <w:pPr>
              <w:pStyle w:val="Bullet2"/>
              <w:numPr>
                <w:ilvl w:val="1"/>
                <w:numId w:val="7"/>
              </w:numPr>
            </w:pPr>
            <w:r w:rsidRPr="00E94D7D">
              <w:lastRenderedPageBreak/>
              <w:t>innovation and education.</w:t>
            </w:r>
          </w:p>
          <w:p w14:paraId="56182838" w14:textId="77777777" w:rsidR="007C3C57" w:rsidRDefault="00364472" w:rsidP="007C3C57">
            <w:pPr>
              <w:pStyle w:val="Bullet1"/>
              <w:rPr>
                <w:b/>
                <w:bCs/>
              </w:rPr>
            </w:pPr>
            <w:r w:rsidRPr="00200870">
              <w:rPr>
                <w:b/>
                <w:bCs/>
              </w:rPr>
              <w:t>Involving AYA patients in setting research priorities</w:t>
            </w:r>
          </w:p>
          <w:p w14:paraId="062F1C45" w14:textId="6903E940" w:rsidR="00364472" w:rsidRPr="007C3C57" w:rsidRDefault="00364472" w:rsidP="007C3C57">
            <w:pPr>
              <w:pStyle w:val="Bullet1"/>
              <w:rPr>
                <w:b/>
                <w:bCs/>
              </w:rPr>
            </w:pPr>
            <w:r w:rsidRPr="007C3C57">
              <w:rPr>
                <w:b/>
              </w:rPr>
              <w:t>Taking action to increase inclusion and access to AYA-specific clinical trials</w:t>
            </w:r>
            <w:r w:rsidRPr="00815AE6">
              <w:t>, with a focus on co-production.</w:t>
            </w:r>
            <w:r w:rsidRPr="00E94D7D">
              <w:t xml:space="preserve"> </w:t>
            </w:r>
          </w:p>
        </w:tc>
      </w:tr>
      <w:tr w:rsidR="00364472" w:rsidRPr="00E94D7D" w14:paraId="46D5792F" w14:textId="77777777" w:rsidTr="00C16E54">
        <w:tc>
          <w:tcPr>
            <w:tcW w:w="1388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DFA4" w14:textId="77777777" w:rsidR="00364472" w:rsidRPr="00E94D7D" w:rsidRDefault="00364472" w:rsidP="00DD0E19">
            <w:pPr>
              <w:pStyle w:val="TableText"/>
              <w:numPr>
                <w:ilvl w:val="0"/>
                <w:numId w:val="4"/>
              </w:numPr>
              <w:suppressAutoHyphens/>
              <w:autoSpaceDN w:val="0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lastRenderedPageBreak/>
              <w:t>Non-clinical components</w:t>
            </w:r>
          </w:p>
        </w:tc>
      </w:tr>
      <w:tr w:rsidR="00364472" w:rsidRPr="00E94D7D" w14:paraId="2DCD7330" w14:textId="77777777" w:rsidTr="00C16E54">
        <w:trPr>
          <w:trHeight w:val="1198"/>
        </w:trPr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DB6A" w14:textId="66045631" w:rsidR="00364472" w:rsidRPr="00E94D7D" w:rsidRDefault="00364472" w:rsidP="00DD0E19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>4.1: Psychosocial support</w:t>
            </w:r>
          </w:p>
          <w:p w14:paraId="646C3517" w14:textId="77777777" w:rsidR="00364472" w:rsidRPr="00E94D7D" w:rsidRDefault="00364472" w:rsidP="00DD0E19">
            <w:pPr>
              <w:pStyle w:val="TableText"/>
              <w:rPr>
                <w:rFonts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AD6A" w14:textId="77777777" w:rsidR="00364472" w:rsidRPr="00E94D7D" w:rsidRDefault="00364472" w:rsidP="00364472">
            <w:pPr>
              <w:pStyle w:val="Bullet1"/>
              <w:rPr>
                <w:szCs w:val="22"/>
              </w:rPr>
            </w:pPr>
            <w:r w:rsidRPr="00E94D7D">
              <w:t xml:space="preserve">Integrating a </w:t>
            </w:r>
            <w:r w:rsidRPr="00E94D7D">
              <w:rPr>
                <w:b/>
                <w:szCs w:val="22"/>
              </w:rPr>
              <w:t>proactive, personalised and multidisciplinar</w:t>
            </w:r>
            <w:r w:rsidRPr="00E94D7D">
              <w:rPr>
                <w:szCs w:val="22"/>
              </w:rPr>
              <w:t>y service across the care continuum</w:t>
            </w:r>
          </w:p>
          <w:p w14:paraId="2732913A" w14:textId="77777777" w:rsidR="00364472" w:rsidRPr="00E94D7D" w:rsidRDefault="00364472" w:rsidP="00364472">
            <w:pPr>
              <w:pStyle w:val="Bullet1"/>
              <w:rPr>
                <w:szCs w:val="22"/>
              </w:rPr>
            </w:pPr>
            <w:r w:rsidRPr="00E94D7D">
              <w:rPr>
                <w:b/>
              </w:rPr>
              <w:t>Actively offering holistic, age-appropriate care to AYA patients</w:t>
            </w:r>
            <w:r w:rsidRPr="00E94D7D">
              <w:rPr>
                <w:szCs w:val="22"/>
              </w:rPr>
              <w:t xml:space="preserve"> encompassing clinical support; physical and lifestyle support; information and communication about diagnosis, treatment, potential life and survivorship; developmental identity and support to address the impact of cancer on patients’ sense of self; social and peer interaction; practical and socio-economic support.</w:t>
            </w:r>
          </w:p>
          <w:p w14:paraId="59FA301E" w14:textId="77777777" w:rsidR="00364472" w:rsidRPr="00E94D7D" w:rsidRDefault="00364472" w:rsidP="00364472">
            <w:pPr>
              <w:pStyle w:val="Bullet1"/>
              <w:rPr>
                <w:szCs w:val="22"/>
              </w:rPr>
            </w:pPr>
            <w:r w:rsidRPr="00E94D7D">
              <w:rPr>
                <w:b/>
              </w:rPr>
              <w:t>Providing survivorship and transitional care post-treatment</w:t>
            </w:r>
            <w:r w:rsidRPr="00E94D7D">
              <w:rPr>
                <w:szCs w:val="22"/>
              </w:rPr>
              <w:t xml:space="preserve"> to manage fear of recurrence, difficulties with societal reintegration and the long-term psychological and physical effects of cancer.</w:t>
            </w:r>
          </w:p>
          <w:p w14:paraId="6E14C4C4" w14:textId="77777777" w:rsidR="00364472" w:rsidRPr="00E94D7D" w:rsidRDefault="00364472" w:rsidP="00364472">
            <w:pPr>
              <w:pStyle w:val="Bullet1"/>
            </w:pPr>
            <w:r w:rsidRPr="00E94D7D">
              <w:rPr>
                <w:b/>
              </w:rPr>
              <w:t>Providing support through mixed modalities</w:t>
            </w:r>
            <w:r w:rsidRPr="00E94D7D">
              <w:t>, which may include individual therapy with psycho-oncology specialists, strengthening family communication and adaptation, and offering peer support groups</w:t>
            </w:r>
          </w:p>
        </w:tc>
      </w:tr>
      <w:tr w:rsidR="00364472" w:rsidRPr="00634C73" w14:paraId="55285294" w14:textId="77777777" w:rsidTr="00C16E54"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C623" w14:textId="4F6B7B54" w:rsidR="00364472" w:rsidRPr="00E94D7D" w:rsidRDefault="00364472" w:rsidP="00DD0E19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 xml:space="preserve">4.2: Social and financial participation </w:t>
            </w:r>
          </w:p>
          <w:p w14:paraId="5A66146A" w14:textId="77777777" w:rsidR="00364472" w:rsidRPr="00E94D7D" w:rsidRDefault="00364472" w:rsidP="00DD0E19">
            <w:pPr>
              <w:pStyle w:val="TableText"/>
              <w:rPr>
                <w:rFonts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0F56" w14:textId="77777777" w:rsidR="00364472" w:rsidRPr="00E94D7D" w:rsidRDefault="00364472" w:rsidP="00364472">
            <w:pPr>
              <w:pStyle w:val="Bullet1"/>
              <w:rPr>
                <w:szCs w:val="22"/>
              </w:rPr>
            </w:pPr>
            <w:r w:rsidRPr="00E94D7D">
              <w:rPr>
                <w:b/>
              </w:rPr>
              <w:t>Appointing a designated contact person</w:t>
            </w:r>
            <w:r w:rsidRPr="00E94D7D">
              <w:rPr>
                <w:szCs w:val="22"/>
              </w:rPr>
              <w:t xml:space="preserve"> </w:t>
            </w:r>
            <w:r w:rsidRPr="00815AE6">
              <w:rPr>
                <w:b/>
                <w:bCs/>
                <w:szCs w:val="22"/>
              </w:rPr>
              <w:t>to guide the patient</w:t>
            </w:r>
            <w:r w:rsidRPr="00E94D7D">
              <w:rPr>
                <w:szCs w:val="22"/>
              </w:rPr>
              <w:t xml:space="preserve">, monitor socioeconomic issues </w:t>
            </w:r>
            <w:r w:rsidRPr="00815AE6">
              <w:rPr>
                <w:b/>
                <w:bCs/>
                <w:szCs w:val="22"/>
              </w:rPr>
              <w:t>and coordinate support</w:t>
            </w:r>
          </w:p>
          <w:p w14:paraId="7D9B0E23" w14:textId="77777777" w:rsidR="00364472" w:rsidRPr="00E94D7D" w:rsidRDefault="00364472" w:rsidP="00364472">
            <w:pPr>
              <w:pStyle w:val="Bullet1"/>
              <w:rPr>
                <w:szCs w:val="22"/>
              </w:rPr>
            </w:pPr>
            <w:r w:rsidRPr="00E94D7D">
              <w:rPr>
                <w:b/>
              </w:rPr>
              <w:t>Collaboration between the healthcare team and educational institutions</w:t>
            </w:r>
            <w:r w:rsidRPr="00E94D7D">
              <w:rPr>
                <w:szCs w:val="22"/>
              </w:rPr>
              <w:t xml:space="preserve"> to develop individualised learning plans and arrangements.</w:t>
            </w:r>
          </w:p>
          <w:p w14:paraId="407A41E3" w14:textId="77777777" w:rsidR="00364472" w:rsidRPr="00E94D7D" w:rsidRDefault="00364472" w:rsidP="00364472">
            <w:pPr>
              <w:pStyle w:val="Bullet1"/>
              <w:rPr>
                <w:b/>
                <w:szCs w:val="22"/>
              </w:rPr>
            </w:pPr>
            <w:r w:rsidRPr="00E94D7D">
              <w:rPr>
                <w:b/>
              </w:rPr>
              <w:t xml:space="preserve">Integrating financial </w:t>
            </w:r>
            <w:r>
              <w:rPr>
                <w:b/>
                <w:bCs/>
              </w:rPr>
              <w:t xml:space="preserve">and socioeconomic issues </w:t>
            </w:r>
            <w:r w:rsidRPr="00815AE6">
              <w:t>throughout care stages.</w:t>
            </w:r>
          </w:p>
          <w:p w14:paraId="2D3E6DF8" w14:textId="77777777" w:rsidR="00364472" w:rsidRPr="00E94D7D" w:rsidRDefault="00364472" w:rsidP="00364472">
            <w:pPr>
              <w:pStyle w:val="Bullet1"/>
              <w:rPr>
                <w:szCs w:val="22"/>
              </w:rPr>
            </w:pPr>
            <w:r w:rsidRPr="00E94D7D">
              <w:rPr>
                <w:b/>
              </w:rPr>
              <w:t>Proactively providing AYAs with information</w:t>
            </w:r>
            <w:r w:rsidRPr="00E94D7D">
              <w:t xml:space="preserve"> about various peer support options</w:t>
            </w:r>
            <w:r w:rsidRPr="00E94D7D">
              <w:rPr>
                <w:szCs w:val="22"/>
              </w:rPr>
              <w:t>, such as support groups, online communities, camps and retreats</w:t>
            </w:r>
          </w:p>
          <w:p w14:paraId="4F0D8807" w14:textId="77777777" w:rsidR="00364472" w:rsidRPr="00634C73" w:rsidRDefault="00364472" w:rsidP="00364472">
            <w:pPr>
              <w:pStyle w:val="Bullet1"/>
              <w:rPr>
                <w:szCs w:val="22"/>
              </w:rPr>
            </w:pPr>
            <w:r w:rsidRPr="00E94D7D">
              <w:rPr>
                <w:b/>
              </w:rPr>
              <w:t>Implementing the “right to be forgotten”</w:t>
            </w:r>
            <w:r w:rsidRPr="00E94D7D">
              <w:rPr>
                <w:szCs w:val="22"/>
              </w:rPr>
              <w:t>, to help ensure fair access to financial services without discrimination based on their cancer history</w:t>
            </w:r>
          </w:p>
        </w:tc>
      </w:tr>
      <w:tr w:rsidR="00364472" w:rsidRPr="00E94D7D" w14:paraId="4C37207E" w14:textId="77777777" w:rsidTr="00C16E54">
        <w:trPr>
          <w:trHeight w:val="1596"/>
        </w:trPr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D009" w14:textId="69672413" w:rsidR="00364472" w:rsidRPr="00E94D7D" w:rsidRDefault="00364472" w:rsidP="00DD0E19">
            <w:pPr>
              <w:pStyle w:val="TableText"/>
              <w:rPr>
                <w:rFonts w:cs="Arial"/>
                <w:b/>
                <w:sz w:val="22"/>
                <w:szCs w:val="22"/>
              </w:rPr>
            </w:pPr>
            <w:r w:rsidRPr="00E94D7D">
              <w:rPr>
                <w:rFonts w:cs="Arial"/>
                <w:b/>
                <w:sz w:val="22"/>
                <w:szCs w:val="22"/>
              </w:rPr>
              <w:t xml:space="preserve">4.3: Carers and family </w:t>
            </w:r>
          </w:p>
          <w:p w14:paraId="78DD9BB1" w14:textId="77777777" w:rsidR="00364472" w:rsidRPr="00E94D7D" w:rsidRDefault="00364472" w:rsidP="00DD0E19">
            <w:pPr>
              <w:pStyle w:val="TableText"/>
              <w:rPr>
                <w:rFonts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DEDE" w14:textId="77777777" w:rsidR="00364472" w:rsidRPr="00E94D7D" w:rsidRDefault="00364472" w:rsidP="00364472">
            <w:pPr>
              <w:pStyle w:val="Bullet1"/>
            </w:pPr>
            <w:r w:rsidRPr="00E94D7D">
              <w:t xml:space="preserve">Providing a </w:t>
            </w:r>
            <w:r w:rsidRPr="00A3303E">
              <w:rPr>
                <w:b/>
                <w:bCs/>
              </w:rPr>
              <w:t>comprehensive support programme for caregivers and families</w:t>
            </w:r>
            <w:r w:rsidRPr="00E94D7D">
              <w:t xml:space="preserve"> of AYA cancer patients and survivors that </w:t>
            </w:r>
            <w:r w:rsidRPr="00E94D7D">
              <w:rPr>
                <w:b/>
              </w:rPr>
              <w:t xml:space="preserve">addresses their </w:t>
            </w:r>
            <w:r w:rsidRPr="00E94D7D">
              <w:rPr>
                <w:rFonts w:cs="Arial"/>
                <w:b/>
              </w:rPr>
              <w:t xml:space="preserve">informational, psychosocial and practical needs </w:t>
            </w:r>
            <w:r w:rsidRPr="00E94D7D">
              <w:rPr>
                <w:rFonts w:cs="Arial"/>
              </w:rPr>
              <w:t>throughout the entire cancer journey.</w:t>
            </w:r>
          </w:p>
          <w:p w14:paraId="7E34D75E" w14:textId="77777777" w:rsidR="00364472" w:rsidRPr="00E94D7D" w:rsidRDefault="00364472" w:rsidP="00364472">
            <w:pPr>
              <w:pStyle w:val="Bullet1"/>
            </w:pPr>
            <w:r w:rsidRPr="00815AE6">
              <w:rPr>
                <w:b/>
                <w:bCs/>
              </w:rPr>
              <w:t>Involving the family unit in care planning</w:t>
            </w:r>
            <w:r w:rsidRPr="00E94D7D">
              <w:t xml:space="preserve"> and shared decision-making, as </w:t>
            </w:r>
            <w:r w:rsidRPr="00815AE6">
              <w:rPr>
                <w:b/>
                <w:bCs/>
              </w:rPr>
              <w:t>guided by the AYA patient’s preferences</w:t>
            </w:r>
            <w:r w:rsidRPr="00E94D7D">
              <w:t xml:space="preserve"> and ensuring </w:t>
            </w:r>
            <w:r w:rsidRPr="00E94D7D">
              <w:rPr>
                <w:b/>
              </w:rPr>
              <w:t>a balance with the AYA’s developing autonomy</w:t>
            </w:r>
            <w:r w:rsidRPr="00E94D7D">
              <w:t>.</w:t>
            </w:r>
          </w:p>
        </w:tc>
      </w:tr>
    </w:tbl>
    <w:p w14:paraId="12A1EC2A" w14:textId="77777777" w:rsidR="00361CD6" w:rsidRDefault="00361CD6"/>
    <w:sectPr w:rsidR="00361CD6" w:rsidSect="00364472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EDB9" w14:textId="77777777" w:rsidR="00815AE6" w:rsidRDefault="00815AE6" w:rsidP="00815AE6">
      <w:pPr>
        <w:spacing w:before="0" w:after="0" w:line="240" w:lineRule="auto"/>
      </w:pPr>
      <w:r>
        <w:separator/>
      </w:r>
    </w:p>
  </w:endnote>
  <w:endnote w:type="continuationSeparator" w:id="0">
    <w:p w14:paraId="0ABE406E" w14:textId="77777777" w:rsidR="00815AE6" w:rsidRDefault="00815AE6" w:rsidP="00815A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392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330F6" w14:textId="4369EBC8" w:rsidR="00815AE6" w:rsidRDefault="00815AE6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2F029" w14:textId="77777777" w:rsidR="00815AE6" w:rsidRDefault="00815AE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3676" w14:textId="77777777" w:rsidR="00815AE6" w:rsidRDefault="00815AE6" w:rsidP="00815AE6">
      <w:pPr>
        <w:spacing w:before="0" w:after="0" w:line="240" w:lineRule="auto"/>
      </w:pPr>
      <w:r>
        <w:separator/>
      </w:r>
    </w:p>
  </w:footnote>
  <w:footnote w:type="continuationSeparator" w:id="0">
    <w:p w14:paraId="5385E29A" w14:textId="77777777" w:rsidR="00815AE6" w:rsidRDefault="00815AE6" w:rsidP="00815AE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1344"/>
    <w:multiLevelType w:val="multilevel"/>
    <w:tmpl w:val="5CAC863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1" w15:restartNumberingAfterBreak="0">
    <w:nsid w:val="388A4420"/>
    <w:multiLevelType w:val="multilevel"/>
    <w:tmpl w:val="B22CE690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" w15:restartNumberingAfterBreak="0">
    <w:nsid w:val="3E144406"/>
    <w:multiLevelType w:val="multilevel"/>
    <w:tmpl w:val="8E32BF76"/>
    <w:styleLink w:val="NumbLstBullet"/>
    <w:lvl w:ilvl="0">
      <w:start w:val="1"/>
      <w:numFmt w:val="bullet"/>
      <w:pStyle w:val="Bullet1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3" w15:restartNumberingAfterBreak="0">
    <w:nsid w:val="4CC741E1"/>
    <w:multiLevelType w:val="multilevel"/>
    <w:tmpl w:val="77BE0F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7CF23305"/>
    <w:multiLevelType w:val="multilevel"/>
    <w:tmpl w:val="F244DF3E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."/>
      <w:lvlJc w:val="left"/>
      <w:pPr>
        <w:ind w:left="1137" w:hanging="360"/>
      </w:pPr>
    </w:lvl>
    <w:lvl w:ilvl="2">
      <w:start w:val="1"/>
      <w:numFmt w:val="lowerRoman"/>
      <w:lvlText w:val="."/>
      <w:lvlJc w:val="right"/>
      <w:pPr>
        <w:ind w:left="1857" w:hanging="180"/>
      </w:pPr>
    </w:lvl>
    <w:lvl w:ilvl="3">
      <w:start w:val="1"/>
      <w:numFmt w:val="decimal"/>
      <w:lvlText w:val="."/>
      <w:lvlJc w:val="left"/>
      <w:pPr>
        <w:ind w:left="2577" w:hanging="360"/>
      </w:pPr>
    </w:lvl>
    <w:lvl w:ilvl="4">
      <w:start w:val="1"/>
      <w:numFmt w:val="lowerLetter"/>
      <w:lvlText w:val="."/>
      <w:lvlJc w:val="left"/>
      <w:pPr>
        <w:ind w:left="3297" w:hanging="360"/>
      </w:pPr>
    </w:lvl>
    <w:lvl w:ilvl="5">
      <w:start w:val="1"/>
      <w:numFmt w:val="lowerRoman"/>
      <w:lvlText w:val="."/>
      <w:lvlJc w:val="right"/>
      <w:pPr>
        <w:ind w:left="4017" w:hanging="180"/>
      </w:pPr>
    </w:lvl>
    <w:lvl w:ilvl="6">
      <w:start w:val="1"/>
      <w:numFmt w:val="decimal"/>
      <w:lvlText w:val="."/>
      <w:lvlJc w:val="left"/>
      <w:pPr>
        <w:ind w:left="4737" w:hanging="360"/>
      </w:pPr>
    </w:lvl>
    <w:lvl w:ilvl="7">
      <w:start w:val="1"/>
      <w:numFmt w:val="lowerLetter"/>
      <w:lvlText w:val="."/>
      <w:lvlJc w:val="left"/>
      <w:pPr>
        <w:ind w:left="5457" w:hanging="360"/>
      </w:pPr>
    </w:lvl>
    <w:lvl w:ilvl="8">
      <w:start w:val="1"/>
      <w:numFmt w:val="lowerRoman"/>
      <w:lvlText w:val="."/>
      <w:lvlJc w:val="right"/>
      <w:pPr>
        <w:ind w:left="6177" w:hanging="180"/>
      </w:pPr>
    </w:lvl>
  </w:abstractNum>
  <w:abstractNum w:abstractNumId="5" w15:restartNumberingAfterBreak="0">
    <w:nsid w:val="7D3F1B7B"/>
    <w:multiLevelType w:val="multilevel"/>
    <w:tmpl w:val="EF484C38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7DD9492D"/>
    <w:multiLevelType w:val="multilevel"/>
    <w:tmpl w:val="D946D072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num w:numId="1" w16cid:durableId="1504510778">
    <w:abstractNumId w:val="2"/>
  </w:num>
  <w:num w:numId="2" w16cid:durableId="1383554657">
    <w:abstractNumId w:val="4"/>
  </w:num>
  <w:num w:numId="3" w16cid:durableId="396241969">
    <w:abstractNumId w:val="5"/>
  </w:num>
  <w:num w:numId="4" w16cid:durableId="907690283">
    <w:abstractNumId w:val="3"/>
  </w:num>
  <w:num w:numId="5" w16cid:durableId="1240140127">
    <w:abstractNumId w:val="0"/>
  </w:num>
  <w:num w:numId="6" w16cid:durableId="1953970492">
    <w:abstractNumId w:val="6"/>
  </w:num>
  <w:num w:numId="7" w16cid:durableId="1154220137">
    <w:abstractNumId w:val="1"/>
  </w:num>
  <w:num w:numId="8" w16cid:durableId="1282221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72"/>
    <w:rsid w:val="0008700D"/>
    <w:rsid w:val="000F6B57"/>
    <w:rsid w:val="00235D3B"/>
    <w:rsid w:val="002A6A82"/>
    <w:rsid w:val="002B0146"/>
    <w:rsid w:val="002E0BE2"/>
    <w:rsid w:val="00361CD6"/>
    <w:rsid w:val="00364472"/>
    <w:rsid w:val="004A7FFE"/>
    <w:rsid w:val="004E5945"/>
    <w:rsid w:val="00532002"/>
    <w:rsid w:val="005478B6"/>
    <w:rsid w:val="007601D6"/>
    <w:rsid w:val="007B6B6C"/>
    <w:rsid w:val="007C3C57"/>
    <w:rsid w:val="00815AE6"/>
    <w:rsid w:val="00825797"/>
    <w:rsid w:val="00976E4F"/>
    <w:rsid w:val="009B0336"/>
    <w:rsid w:val="00A3303E"/>
    <w:rsid w:val="00AB3533"/>
    <w:rsid w:val="00C012E6"/>
    <w:rsid w:val="00C16E54"/>
    <w:rsid w:val="00C26697"/>
    <w:rsid w:val="00CB130F"/>
    <w:rsid w:val="00D70988"/>
    <w:rsid w:val="00DD0E19"/>
    <w:rsid w:val="00DF2981"/>
    <w:rsid w:val="00E93021"/>
    <w:rsid w:val="00F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E278"/>
  <w15:chartTrackingRefBased/>
  <w15:docId w15:val="{9C6495EA-0D70-4A76-B628-71C442E7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iPriority w:val="6"/>
    <w:qFormat/>
    <w:rsid w:val="00364472"/>
    <w:pPr>
      <w:spacing w:before="120" w:after="120" w:line="260" w:lineRule="atLeast"/>
    </w:pPr>
    <w:rPr>
      <w:rFonts w:ascii="Arial" w:hAnsi="Arial" w:cs="Times New Roman"/>
      <w:kern w:val="0"/>
      <w:szCs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64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6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64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64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64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64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64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64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64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64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64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64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6447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6447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6447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6447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6447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6447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64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6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64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64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6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6447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6447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6447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64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6447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64472"/>
    <w:rPr>
      <w:b/>
      <w:bCs/>
      <w:smallCaps/>
      <w:color w:val="0F4761" w:themeColor="accent1" w:themeShade="BF"/>
      <w:spacing w:val="5"/>
    </w:rPr>
  </w:style>
  <w:style w:type="paragraph" w:customStyle="1" w:styleId="TableText">
    <w:name w:val="TableText"/>
    <w:basedOn w:val="Normaallaad"/>
    <w:uiPriority w:val="15"/>
    <w:qFormat/>
    <w:rsid w:val="00364472"/>
    <w:pPr>
      <w:spacing w:before="0" w:line="220" w:lineRule="atLeast"/>
      <w:ind w:left="57" w:right="57"/>
    </w:pPr>
    <w:rPr>
      <w:sz w:val="20"/>
    </w:rPr>
  </w:style>
  <w:style w:type="paragraph" w:customStyle="1" w:styleId="TableTextNoSpace">
    <w:name w:val="TableTextNoSpace"/>
    <w:basedOn w:val="TableText"/>
    <w:uiPriority w:val="15"/>
    <w:qFormat/>
    <w:rsid w:val="00364472"/>
    <w:pPr>
      <w:spacing w:after="0"/>
    </w:pPr>
  </w:style>
  <w:style w:type="paragraph" w:customStyle="1" w:styleId="Bullet1">
    <w:name w:val="Bullet1"/>
    <w:basedOn w:val="Normaallaad"/>
    <w:uiPriority w:val="6"/>
    <w:qFormat/>
    <w:rsid w:val="00364472"/>
    <w:pPr>
      <w:numPr>
        <w:numId w:val="1"/>
      </w:numPr>
      <w:spacing w:before="0" w:after="0"/>
    </w:pPr>
  </w:style>
  <w:style w:type="paragraph" w:customStyle="1" w:styleId="Bullet2">
    <w:name w:val="Bullet2"/>
    <w:basedOn w:val="Normaallaad"/>
    <w:uiPriority w:val="6"/>
    <w:qFormat/>
    <w:rsid w:val="00364472"/>
    <w:pPr>
      <w:numPr>
        <w:ilvl w:val="1"/>
        <w:numId w:val="1"/>
      </w:numPr>
      <w:spacing w:before="0" w:after="0"/>
    </w:pPr>
  </w:style>
  <w:style w:type="paragraph" w:customStyle="1" w:styleId="Bullet3">
    <w:name w:val="Bullet3"/>
    <w:basedOn w:val="Normaallaad"/>
    <w:uiPriority w:val="6"/>
    <w:qFormat/>
    <w:rsid w:val="00364472"/>
    <w:pPr>
      <w:numPr>
        <w:ilvl w:val="2"/>
        <w:numId w:val="1"/>
      </w:numPr>
      <w:spacing w:before="0" w:after="0"/>
    </w:pPr>
  </w:style>
  <w:style w:type="numbering" w:customStyle="1" w:styleId="NumbLstBullet">
    <w:name w:val="NumbLstBullet"/>
    <w:uiPriority w:val="99"/>
    <w:rsid w:val="00364472"/>
    <w:pPr>
      <w:numPr>
        <w:numId w:val="1"/>
      </w:numPr>
    </w:pPr>
  </w:style>
  <w:style w:type="paragraph" w:customStyle="1" w:styleId="TableBullet">
    <w:name w:val="TableBullet"/>
    <w:basedOn w:val="TableText"/>
    <w:uiPriority w:val="6"/>
    <w:qFormat/>
    <w:rsid w:val="00364472"/>
    <w:pPr>
      <w:tabs>
        <w:tab w:val="num" w:pos="397"/>
      </w:tabs>
      <w:spacing w:after="0"/>
      <w:ind w:left="397" w:hanging="340"/>
    </w:pPr>
  </w:style>
  <w:style w:type="paragraph" w:customStyle="1" w:styleId="TableHeadingWhite">
    <w:name w:val="TableHeadingWhite"/>
    <w:basedOn w:val="Normaallaad"/>
    <w:uiPriority w:val="16"/>
    <w:qFormat/>
    <w:rsid w:val="00364472"/>
    <w:pPr>
      <w:spacing w:after="0" w:line="220" w:lineRule="atLeast"/>
      <w:ind w:left="57" w:right="57"/>
    </w:pPr>
    <w:rPr>
      <w:b/>
      <w:color w:val="FFFFFF"/>
      <w:sz w:val="20"/>
    </w:rPr>
  </w:style>
  <w:style w:type="paragraph" w:styleId="Pis">
    <w:name w:val="header"/>
    <w:basedOn w:val="Normaallaad"/>
    <w:link w:val="PisMrk"/>
    <w:uiPriority w:val="99"/>
    <w:unhideWhenUsed/>
    <w:rsid w:val="00815AE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15AE6"/>
    <w:rPr>
      <w:rFonts w:ascii="Arial" w:hAnsi="Arial" w:cs="Times New Roman"/>
      <w:kern w:val="0"/>
      <w:szCs w:val="24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815AE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15AE6"/>
    <w:rPr>
      <w:rFonts w:ascii="Arial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D16D89103D548953A1304CF437BDD" ma:contentTypeVersion="9" ma:contentTypeDescription="Create a new document." ma:contentTypeScope="" ma:versionID="3214e00ec46cedab3f8d20817804cd2b">
  <xsd:schema xmlns:xsd="http://www.w3.org/2001/XMLSchema" xmlns:xs="http://www.w3.org/2001/XMLSchema" xmlns:p="http://schemas.microsoft.com/office/2006/metadata/properties" xmlns:ns2="f55ea017-c9e5-4b26-9e6d-059ed0ac9a6e" targetNamespace="http://schemas.microsoft.com/office/2006/metadata/properties" ma:root="true" ma:fieldsID="cf5d6a160d23c359697d26141a4341cf" ns2:_="">
    <xsd:import namespace="f55ea017-c9e5-4b26-9e6d-059ed0ac9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ea017-c9e5-4b26-9e6d-059ed0ac9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4b13eb-363c-4e07-98c0-f7e255250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ea017-c9e5-4b26-9e6d-059ed0ac9a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D9E54-780D-4798-A353-C7691E01C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ea017-c9e5-4b26-9e6d-059ed0ac9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D1238-E29B-4A77-B99A-DC02AC91DCDB}">
  <ds:schemaRefs>
    <ds:schemaRef ds:uri="http://schemas.microsoft.com/office/2006/documentManagement/types"/>
    <ds:schemaRef ds:uri="ec6dab73-5cd6-4611-89a7-fbcee67bf421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9ba7e66-9787-48bb-ab61-307335bbf723"/>
    <ds:schemaRef ds:uri="f55ea017-c9e5-4b26-9e6d-059ed0ac9a6e"/>
  </ds:schemaRefs>
</ds:datastoreItem>
</file>

<file path=customXml/itemProps3.xml><?xml version="1.0" encoding="utf-8"?>
<ds:datastoreItem xmlns:ds="http://schemas.openxmlformats.org/officeDocument/2006/customXml" ds:itemID="{9D85FF1C-B083-451B-BE54-BF19FC42D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7362</Characters>
  <Application>Microsoft Office Word</Application>
  <DocSecurity>0</DocSecurity>
  <Lines>109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Morosi, Martina</dc:creator>
  <cp:keywords/>
  <dc:description/>
  <cp:lastModifiedBy>Keiu Paapsi - TAI</cp:lastModifiedBy>
  <cp:revision>2</cp:revision>
  <dcterms:created xsi:type="dcterms:W3CDTF">2026-02-25T19:46:00Z</dcterms:created>
  <dcterms:modified xsi:type="dcterms:W3CDTF">2026-02-25T19:46:00Z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0x0101001EAD16D89103D548953A1304CF437BDD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2026-02-25T19:46:25Z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906f0fd2-2dec-45b4-83cc-3f2db1144940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